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7AC" w:rsidRDefault="000167AC" w:rsidP="000167AC">
      <w:pPr>
        <w:rPr>
          <w:lang w:val="en-US"/>
        </w:rPr>
      </w:pPr>
      <w:r>
        <w:rPr>
          <w:lang w:val="en-US"/>
        </w:rPr>
        <w:t>D</w:t>
      </w:r>
      <w:r w:rsidRPr="00992C3D">
        <w:rPr>
          <w:lang w:val="en-US"/>
        </w:rPr>
        <w:t>iversity is</w:t>
      </w:r>
      <w:r>
        <w:rPr>
          <w:lang w:val="en-US"/>
        </w:rPr>
        <w:t xml:space="preserve"> a </w:t>
      </w:r>
      <w:r w:rsidRPr="00992C3D">
        <w:rPr>
          <w:lang w:val="en-US"/>
        </w:rPr>
        <w:t>strategic necessity for the future of particle physics</w:t>
      </w:r>
      <w:r>
        <w:rPr>
          <w:lang w:val="en-US"/>
        </w:rPr>
        <w:t>, because i</w:t>
      </w:r>
      <w:r w:rsidRPr="00992C3D">
        <w:rPr>
          <w:lang w:val="en-US"/>
        </w:rPr>
        <w:t xml:space="preserve">t enhances innovation, broadens perspectives, attracts and retains </w:t>
      </w:r>
      <w:r>
        <w:rPr>
          <w:lang w:val="en-US"/>
        </w:rPr>
        <w:t xml:space="preserve">the best </w:t>
      </w:r>
      <w:r w:rsidRPr="00992C3D">
        <w:rPr>
          <w:lang w:val="en-US"/>
        </w:rPr>
        <w:t>talent</w:t>
      </w:r>
      <w:r>
        <w:rPr>
          <w:lang w:val="en-US"/>
        </w:rPr>
        <w:t>s</w:t>
      </w:r>
      <w:r>
        <w:rPr>
          <w:lang w:val="en-US"/>
        </w:rPr>
        <w:t xml:space="preserve"> globally</w:t>
      </w:r>
      <w:r w:rsidRPr="00992C3D">
        <w:rPr>
          <w:lang w:val="en-US"/>
        </w:rPr>
        <w:t>, and improves decision-makin</w:t>
      </w:r>
      <w:r>
        <w:rPr>
          <w:lang w:val="en-US"/>
        </w:rPr>
        <w:t>g</w:t>
      </w:r>
      <w:r>
        <w:rPr>
          <w:lang w:val="en-US"/>
        </w:rPr>
        <w:t xml:space="preserve"> [</w:t>
      </w:r>
      <w:r w:rsidRPr="000167AC">
        <w:rPr>
          <w:rStyle w:val="EndnoteReference"/>
          <w:vertAlign w:val="baseline"/>
          <w:lang w:val="en-US"/>
        </w:rPr>
        <w:endnoteReference w:id="1"/>
      </w:r>
      <w:r w:rsidR="007D10E0">
        <w:rPr>
          <w:lang w:val="en-US"/>
        </w:rPr>
        <w:t>,</w:t>
      </w:r>
      <w:r w:rsidR="007D10E0" w:rsidRPr="007D10E0">
        <w:rPr>
          <w:rStyle w:val="EndnoteReference"/>
          <w:vertAlign w:val="baseline"/>
          <w:lang w:val="en-US"/>
        </w:rPr>
        <w:endnoteReference w:id="2"/>
      </w:r>
      <w:r w:rsidR="007D10E0">
        <w:rPr>
          <w:lang w:val="en-US"/>
        </w:rPr>
        <w:t>,</w:t>
      </w:r>
      <w:r w:rsidR="007D10E0" w:rsidRPr="007D10E0">
        <w:rPr>
          <w:rStyle w:val="EndnoteReference"/>
          <w:vertAlign w:val="baseline"/>
          <w:lang w:val="en-US"/>
        </w:rPr>
        <w:endnoteReference w:id="3"/>
      </w:r>
      <w:r w:rsidR="007D10E0">
        <w:rPr>
          <w:lang w:val="en-US"/>
        </w:rPr>
        <w:t>,</w:t>
      </w:r>
      <w:r w:rsidR="00A202A2" w:rsidRPr="00A202A2">
        <w:rPr>
          <w:rStyle w:val="EndnoteReference"/>
          <w:vertAlign w:val="baseline"/>
          <w:lang w:val="en-US"/>
        </w:rPr>
        <w:endnoteReference w:id="4"/>
      </w:r>
      <w:r w:rsidR="00A202A2">
        <w:rPr>
          <w:lang w:val="en-US"/>
        </w:rPr>
        <w:t>,</w:t>
      </w:r>
      <w:r w:rsidR="00A202A2" w:rsidRPr="00A202A2">
        <w:rPr>
          <w:rStyle w:val="EndnoteReference"/>
          <w:vertAlign w:val="baseline"/>
          <w:lang w:val="en-US"/>
        </w:rPr>
        <w:endnoteReference w:id="5"/>
      </w:r>
      <w:r w:rsidR="00A202A2">
        <w:rPr>
          <w:lang w:val="en-US"/>
        </w:rPr>
        <w:t>,</w:t>
      </w:r>
      <w:r w:rsidR="00A202A2" w:rsidRPr="00A202A2">
        <w:rPr>
          <w:rStyle w:val="EndnoteReference"/>
          <w:vertAlign w:val="baseline"/>
          <w:lang w:val="en-US"/>
        </w:rPr>
        <w:endnoteReference w:id="6"/>
      </w:r>
      <w:r>
        <w:rPr>
          <w:lang w:val="en-US"/>
        </w:rPr>
        <w:t>]</w:t>
      </w:r>
      <w:r>
        <w:rPr>
          <w:lang w:val="en-US"/>
        </w:rPr>
        <w:t xml:space="preserve">. </w:t>
      </w:r>
    </w:p>
    <w:p w:rsidR="00A202A2" w:rsidRDefault="00DE1060" w:rsidP="00DE1060">
      <w:pPr>
        <w:rPr>
          <w:lang w:val="en-US"/>
        </w:rPr>
      </w:pPr>
      <w:r>
        <w:rPr>
          <w:lang w:val="en-US"/>
        </w:rPr>
        <w:t>As stated in the European Strategy for Particle Physics 2020 Update “</w:t>
      </w:r>
      <w:r w:rsidRPr="007208CE">
        <w:rPr>
          <w:lang w:val="en-US"/>
        </w:rPr>
        <w:t>The particle physics community commits to placing the principles of equality, diversity and inclusion at the heart of all its activities.</w:t>
      </w:r>
      <w:r>
        <w:rPr>
          <w:lang w:val="en-US"/>
        </w:rPr>
        <w:t xml:space="preserve">” For the current update of the ESPP we propose to extend this statement with a commitment of the community to implement target-based and leadership-led strategies to </w:t>
      </w:r>
      <w:r w:rsidR="00696B49">
        <w:rPr>
          <w:lang w:val="en-US"/>
        </w:rPr>
        <w:t xml:space="preserve">actively </w:t>
      </w:r>
      <w:r>
        <w:rPr>
          <w:lang w:val="en-US"/>
        </w:rPr>
        <w:t xml:space="preserve">improve </w:t>
      </w:r>
      <w:r>
        <w:rPr>
          <w:lang w:val="en-US"/>
        </w:rPr>
        <w:t xml:space="preserve">and check </w:t>
      </w:r>
      <w:r>
        <w:rPr>
          <w:lang w:val="en-US"/>
        </w:rPr>
        <w:t xml:space="preserve">diversity benchmarks across the different dimensions of diversity. </w:t>
      </w:r>
    </w:p>
    <w:p w:rsidR="00CC4773" w:rsidRDefault="00DE1060" w:rsidP="00DE1060">
      <w:pPr>
        <w:rPr>
          <w:lang w:val="en-US"/>
        </w:rPr>
      </w:pPr>
      <w:r>
        <w:rPr>
          <w:lang w:val="en-US"/>
        </w:rPr>
        <w:t xml:space="preserve">Diversity </w:t>
      </w:r>
      <w:r w:rsidR="00CC4773">
        <w:rPr>
          <w:lang w:val="en-US"/>
        </w:rPr>
        <w:t>dimensions are</w:t>
      </w:r>
      <w:r>
        <w:rPr>
          <w:lang w:val="en-US"/>
        </w:rPr>
        <w:t xml:space="preserve"> </w:t>
      </w:r>
      <w:r w:rsidR="00CC4773">
        <w:rPr>
          <w:lang w:val="en-US"/>
        </w:rPr>
        <w:t xml:space="preserve">the </w:t>
      </w:r>
      <w:r>
        <w:rPr>
          <w:lang w:val="en-US"/>
        </w:rPr>
        <w:t>social background, age, ethnic</w:t>
      </w:r>
      <w:r w:rsidR="00CC4773">
        <w:rPr>
          <w:lang w:val="en-US"/>
        </w:rPr>
        <w:t xml:space="preserve"> background and n</w:t>
      </w:r>
      <w:r>
        <w:rPr>
          <w:lang w:val="en-US"/>
        </w:rPr>
        <w:t>ationality, gender and gender identity, physical and mental abilities, religion</w:t>
      </w:r>
      <w:r w:rsidR="00CC4773">
        <w:rPr>
          <w:lang w:val="en-US"/>
        </w:rPr>
        <w:t xml:space="preserve"> and </w:t>
      </w:r>
      <w:r>
        <w:rPr>
          <w:lang w:val="en-US"/>
        </w:rPr>
        <w:t>world view and sexual orientation as outlined in [</w:t>
      </w:r>
      <w:bookmarkStart w:id="0" w:name="_Ref188013105"/>
      <w:r w:rsidRPr="00DE1060">
        <w:rPr>
          <w:rStyle w:val="EndnoteReference"/>
          <w:vertAlign w:val="baseline"/>
          <w:lang w:val="en-US"/>
        </w:rPr>
        <w:endnoteReference w:id="7"/>
      </w:r>
      <w:bookmarkEnd w:id="0"/>
      <w:r w:rsidRPr="00DE1060">
        <w:rPr>
          <w:lang w:val="en-US"/>
        </w:rPr>
        <w:t>]</w:t>
      </w:r>
      <w:r>
        <w:rPr>
          <w:lang w:val="en-US"/>
        </w:rPr>
        <w:t xml:space="preserve">. </w:t>
      </w:r>
      <w:r w:rsidR="00696B49">
        <w:rPr>
          <w:lang w:val="en-US"/>
        </w:rPr>
        <w:t xml:space="preserve">In this context it is also </w:t>
      </w:r>
      <w:r w:rsidR="00CC4773">
        <w:rPr>
          <w:lang w:val="en-US"/>
        </w:rPr>
        <w:t>need</w:t>
      </w:r>
      <w:r w:rsidR="00696B49">
        <w:rPr>
          <w:lang w:val="en-US"/>
        </w:rPr>
        <w:t xml:space="preserve">ed </w:t>
      </w:r>
      <w:r w:rsidR="00CC4773">
        <w:rPr>
          <w:lang w:val="en-US"/>
        </w:rPr>
        <w:t xml:space="preserve">to </w:t>
      </w:r>
      <w:r w:rsidR="00696B49">
        <w:rPr>
          <w:lang w:val="en-US"/>
        </w:rPr>
        <w:t>consider</w:t>
      </w:r>
      <w:r w:rsidR="00CC4773">
        <w:rPr>
          <w:lang w:val="en-US"/>
        </w:rPr>
        <w:t xml:space="preserve"> outer </w:t>
      </w:r>
      <w:r w:rsidR="00696B49">
        <w:rPr>
          <w:lang w:val="en-US"/>
        </w:rPr>
        <w:t xml:space="preserve">(like for example care responsibilities, family status, </w:t>
      </w:r>
      <w:proofErr w:type="spellStart"/>
      <w:r w:rsidR="00696B49">
        <w:rPr>
          <w:lang w:val="en-US"/>
        </w:rPr>
        <w:t>etc</w:t>
      </w:r>
      <w:proofErr w:type="spellEnd"/>
      <w:r w:rsidR="00696B49">
        <w:rPr>
          <w:lang w:val="en-US"/>
        </w:rPr>
        <w:t xml:space="preserve">) </w:t>
      </w:r>
      <w:r w:rsidR="00CC4773">
        <w:rPr>
          <w:lang w:val="en-US"/>
        </w:rPr>
        <w:t xml:space="preserve">and organizational dimensions an individual is placed in as shown in </w:t>
      </w:r>
      <w:r w:rsidR="00696B49">
        <w:rPr>
          <w:lang w:val="en-US"/>
        </w:rPr>
        <w:fldChar w:fldCharType="begin"/>
      </w:r>
      <w:r w:rsidR="00696B49">
        <w:rPr>
          <w:lang w:val="en-US"/>
        </w:rPr>
        <w:instrText xml:space="preserve"> REF _Ref188013218 \h </w:instrText>
      </w:r>
      <w:r w:rsidR="00696B49">
        <w:rPr>
          <w:lang w:val="en-US"/>
        </w:rPr>
      </w:r>
      <w:r w:rsidR="00696B49">
        <w:rPr>
          <w:lang w:val="en-US"/>
        </w:rPr>
        <w:fldChar w:fldCharType="separate"/>
      </w:r>
      <w:r w:rsidR="00696B49" w:rsidRPr="00696B49">
        <w:rPr>
          <w:lang w:val="en-US"/>
        </w:rPr>
        <w:t xml:space="preserve">Figure </w:t>
      </w:r>
      <w:r w:rsidR="00696B49" w:rsidRPr="00696B49">
        <w:rPr>
          <w:noProof/>
          <w:lang w:val="en-US"/>
        </w:rPr>
        <w:t>1</w:t>
      </w:r>
      <w:r w:rsidR="00696B49">
        <w:rPr>
          <w:lang w:val="en-US"/>
        </w:rPr>
        <w:fldChar w:fldCharType="end"/>
      </w:r>
      <w:r w:rsidR="00696B49">
        <w:rPr>
          <w:lang w:val="en-US"/>
        </w:rPr>
        <w:t>.</w:t>
      </w:r>
    </w:p>
    <w:p w:rsidR="00696B49" w:rsidRDefault="00CC4773" w:rsidP="00696B49">
      <w:pPr>
        <w:keepNext/>
        <w:jc w:val="center"/>
      </w:pPr>
      <w:r w:rsidRPr="00CC4773">
        <w:rPr>
          <w:lang w:val="en-US"/>
        </w:rPr>
        <w:drawing>
          <wp:inline distT="0" distB="0" distL="0" distR="0" wp14:anchorId="5FF54D4E" wp14:editId="79FE8E9E">
            <wp:extent cx="2528053" cy="2509381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1665" cy="253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73" w:rsidRPr="00696B49" w:rsidRDefault="00696B49" w:rsidP="00696B49">
      <w:pPr>
        <w:pStyle w:val="Caption"/>
        <w:jc w:val="center"/>
        <w:rPr>
          <w:lang w:val="en-US"/>
        </w:rPr>
      </w:pPr>
      <w:bookmarkStart w:id="1" w:name="_Ref188013218"/>
      <w:r w:rsidRPr="00696B49">
        <w:rPr>
          <w:lang w:val="en-US"/>
        </w:rPr>
        <w:t xml:space="preserve">Figure </w:t>
      </w:r>
      <w:r>
        <w:fldChar w:fldCharType="begin"/>
      </w:r>
      <w:r w:rsidRPr="00696B49">
        <w:rPr>
          <w:lang w:val="en-US"/>
        </w:rPr>
        <w:instrText xml:space="preserve"> SEQ Figure \* ARABIC </w:instrText>
      </w:r>
      <w:r>
        <w:fldChar w:fldCharType="separate"/>
      </w:r>
      <w:r w:rsidRPr="00696B49">
        <w:rPr>
          <w:noProof/>
          <w:lang w:val="en-US"/>
        </w:rPr>
        <w:t>1</w:t>
      </w:r>
      <w:r>
        <w:fldChar w:fldCharType="end"/>
      </w:r>
      <w:bookmarkEnd w:id="1"/>
      <w:r w:rsidRPr="00696B49">
        <w:rPr>
          <w:lang w:val="en-US"/>
        </w:rPr>
        <w:t xml:space="preserve">: </w:t>
      </w:r>
      <w:r w:rsidRPr="00696B49">
        <w:rPr>
          <w:lang w:val="en-US"/>
        </w:rPr>
        <w:t xml:space="preserve">Diversity </w:t>
      </w:r>
      <w:r>
        <w:rPr>
          <w:lang w:val="en-US"/>
        </w:rPr>
        <w:t>d</w:t>
      </w:r>
      <w:r w:rsidRPr="00696B49">
        <w:rPr>
          <w:lang w:val="en-US"/>
        </w:rPr>
        <w:t>imension</w:t>
      </w:r>
      <w:r>
        <w:rPr>
          <w:lang w:val="en-US"/>
        </w:rPr>
        <w:t>s</w:t>
      </w:r>
      <w:r w:rsidRPr="00696B49">
        <w:rPr>
          <w:lang w:val="en-US"/>
        </w:rPr>
        <w:t xml:space="preserve"> </w:t>
      </w:r>
      <w:r w:rsidRPr="00696B49">
        <w:rPr>
          <w:lang w:val="en-US"/>
        </w:rPr>
        <w:t>of the</w:t>
      </w:r>
      <w:r w:rsidRPr="00696B49">
        <w:rPr>
          <w:lang w:val="en-US"/>
        </w:rPr>
        <w:t xml:space="preserve"> "Charta der </w:t>
      </w:r>
      <w:proofErr w:type="spellStart"/>
      <w:r w:rsidRPr="00696B49">
        <w:rPr>
          <w:lang w:val="en-US"/>
        </w:rPr>
        <w:t>Vielfalt</w:t>
      </w:r>
      <w:proofErr w:type="spellEnd"/>
      <w:r>
        <w:rPr>
          <w:lang w:val="en-US"/>
        </w:rPr>
        <w:t>” [</w:t>
      </w:r>
      <w:r>
        <w:rPr>
          <w:lang w:val="en-US"/>
        </w:rPr>
        <w:fldChar w:fldCharType="begin"/>
      </w:r>
      <w:r>
        <w:rPr>
          <w:lang w:val="en-US"/>
        </w:rPr>
        <w:instrText xml:space="preserve"> NOTEREF _Ref188013105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6E1ED3">
        <w:rPr>
          <w:lang w:val="en-US"/>
        </w:rPr>
        <w:t>7</w:t>
      </w:r>
      <w:r>
        <w:rPr>
          <w:lang w:val="en-US"/>
        </w:rPr>
        <w:fldChar w:fldCharType="end"/>
      </w:r>
      <w:r>
        <w:rPr>
          <w:lang w:val="en-US"/>
        </w:rPr>
        <w:t>].</w:t>
      </w:r>
    </w:p>
    <w:p w:rsidR="00DE1060" w:rsidRPr="00696B49" w:rsidRDefault="00DE1060" w:rsidP="00DE1060">
      <w:pPr>
        <w:rPr>
          <w:lang w:val="en-US"/>
        </w:rPr>
      </w:pPr>
      <w:bookmarkStart w:id="2" w:name="_GoBack"/>
      <w:bookmarkEnd w:id="2"/>
    </w:p>
    <w:p w:rsidR="00DE1060" w:rsidRPr="00696B49" w:rsidRDefault="00DE1060" w:rsidP="00DE1060">
      <w:pPr>
        <w:rPr>
          <w:lang w:val="en-US"/>
        </w:rPr>
      </w:pPr>
    </w:p>
    <w:p w:rsidR="00DE1060" w:rsidRPr="00992C3D" w:rsidRDefault="00B6286A" w:rsidP="00DE1060">
      <w:pPr>
        <w:rPr>
          <w:lang w:val="en-US"/>
        </w:rPr>
      </w:pPr>
      <w:r>
        <w:rPr>
          <w:lang w:val="en-US"/>
        </w:rPr>
        <w:t>A</w:t>
      </w:r>
      <w:r w:rsidR="00DE1060">
        <w:rPr>
          <w:lang w:val="en-US"/>
        </w:rPr>
        <w:t xml:space="preserve">t the same time </w:t>
      </w:r>
      <w:r>
        <w:rPr>
          <w:lang w:val="en-US"/>
        </w:rPr>
        <w:t xml:space="preserve">our community stands for promoting </w:t>
      </w:r>
      <w:r w:rsidR="00A05BEB">
        <w:rPr>
          <w:lang w:val="en-US"/>
        </w:rPr>
        <w:t>scientific collaboration across borders, inclusiveness and open science, transcending political and other conflicts</w:t>
      </w:r>
      <w:r w:rsidR="00091D4A">
        <w:rPr>
          <w:lang w:val="en-US"/>
        </w:rPr>
        <w:t xml:space="preserve"> </w:t>
      </w:r>
      <w:r w:rsidR="007554F6">
        <w:rPr>
          <w:lang w:val="en-US"/>
        </w:rPr>
        <w:t>as stated in CERN’s main objectives document [</w:t>
      </w:r>
      <w:r w:rsidR="007554F6" w:rsidRPr="007554F6">
        <w:rPr>
          <w:rStyle w:val="EndnoteReference"/>
          <w:vertAlign w:val="baseline"/>
          <w:lang w:val="en-US"/>
        </w:rPr>
        <w:endnoteReference w:id="8"/>
      </w:r>
      <w:r w:rsidR="007554F6">
        <w:rPr>
          <w:lang w:val="en-US"/>
        </w:rPr>
        <w:t>]</w:t>
      </w:r>
      <w:r w:rsidR="00A05BEB">
        <w:rPr>
          <w:lang w:val="en-US"/>
        </w:rPr>
        <w:t>.</w:t>
      </w:r>
      <w:r w:rsidR="007554F6">
        <w:rPr>
          <w:lang w:val="en-US"/>
        </w:rPr>
        <w:t xml:space="preserve"> We have the </w:t>
      </w:r>
      <w:r w:rsidR="00DE1060">
        <w:rPr>
          <w:lang w:val="en-US"/>
        </w:rPr>
        <w:t xml:space="preserve">unique opportunity as a global, highly innovative, </w:t>
      </w:r>
      <w:r w:rsidR="00DE1060" w:rsidRPr="00992C3D">
        <w:rPr>
          <w:lang w:val="en-US"/>
        </w:rPr>
        <w:t xml:space="preserve">respected and influential </w:t>
      </w:r>
      <w:r>
        <w:rPr>
          <w:lang w:val="en-US"/>
        </w:rPr>
        <w:t>research community</w:t>
      </w:r>
      <w:r w:rsidR="00DE1060" w:rsidRPr="00992C3D">
        <w:rPr>
          <w:lang w:val="en-US"/>
        </w:rPr>
        <w:t xml:space="preserve">, </w:t>
      </w:r>
      <w:r w:rsidR="00DE1060">
        <w:rPr>
          <w:lang w:val="en-US"/>
        </w:rPr>
        <w:t>to</w:t>
      </w:r>
      <w:r w:rsidR="00DE1060" w:rsidRPr="00992C3D">
        <w:rPr>
          <w:lang w:val="en-US"/>
        </w:rPr>
        <w:t xml:space="preserve"> advocate for policies that promote diversity and inclusion </w:t>
      </w:r>
      <w:r w:rsidR="00DE1060">
        <w:rPr>
          <w:lang w:val="en-US"/>
        </w:rPr>
        <w:t xml:space="preserve">on societal level </w:t>
      </w:r>
      <w:r w:rsidR="00DE1060" w:rsidRPr="00992C3D">
        <w:rPr>
          <w:lang w:val="en-US"/>
        </w:rPr>
        <w:t>in</w:t>
      </w:r>
      <w:r w:rsidR="00DE1060">
        <w:rPr>
          <w:lang w:val="en-US"/>
        </w:rPr>
        <w:t xml:space="preserve"> e.g.</w:t>
      </w:r>
      <w:r w:rsidR="00DE1060" w:rsidRPr="00992C3D">
        <w:rPr>
          <w:lang w:val="en-US"/>
        </w:rPr>
        <w:t xml:space="preserve"> education, research, and industry. This can include supporting initiatives that address systemic barriers to entry for underrepresented groups, such as scholarships, mentorship programs, and inclusive hiring practices.</w:t>
      </w:r>
    </w:p>
    <w:p w:rsidR="00D97879" w:rsidRPr="00DE1060" w:rsidRDefault="00D97879">
      <w:pPr>
        <w:rPr>
          <w:lang w:val="en-US"/>
        </w:rPr>
      </w:pPr>
    </w:p>
    <w:sectPr w:rsidR="00D97879" w:rsidRPr="00DE1060">
      <w:endnotePr>
        <w:numFmt w:val="decimal"/>
      </w:end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4FF" w:rsidRDefault="004174FF" w:rsidP="00DE1060">
      <w:pPr>
        <w:spacing w:after="0" w:line="240" w:lineRule="auto"/>
      </w:pPr>
      <w:r>
        <w:separator/>
      </w:r>
    </w:p>
  </w:endnote>
  <w:endnote w:type="continuationSeparator" w:id="0">
    <w:p w:rsidR="004174FF" w:rsidRDefault="004174FF" w:rsidP="00DE1060">
      <w:pPr>
        <w:spacing w:after="0" w:line="240" w:lineRule="auto"/>
      </w:pPr>
      <w:r>
        <w:continuationSeparator/>
      </w:r>
    </w:p>
  </w:endnote>
  <w:endnote w:id="1">
    <w:p w:rsidR="000167AC" w:rsidRDefault="000167AC">
      <w:pPr>
        <w:pStyle w:val="EndnoteText"/>
      </w:pPr>
      <w:r>
        <w:t>[</w:t>
      </w:r>
      <w:r w:rsidRPr="000167AC">
        <w:rPr>
          <w:rStyle w:val="EndnoteReference"/>
          <w:vertAlign w:val="baseline"/>
        </w:rPr>
        <w:endnoteRef/>
      </w:r>
      <w:r>
        <w:t>]</w:t>
      </w:r>
      <w:r w:rsidRPr="000167AC">
        <w:t xml:space="preserve"> https://www.ncbi.nlm.nih.gov/books/NBK604150/</w:t>
      </w:r>
    </w:p>
  </w:endnote>
  <w:endnote w:id="2">
    <w:p w:rsidR="007D10E0" w:rsidRPr="007D10E0" w:rsidRDefault="007D10E0">
      <w:pPr>
        <w:pStyle w:val="EndnoteText"/>
        <w:rPr>
          <w:lang w:val="en-US"/>
        </w:rPr>
      </w:pPr>
      <w:r w:rsidRPr="007D10E0">
        <w:rPr>
          <w:lang w:val="en-US"/>
        </w:rPr>
        <w:t>[</w:t>
      </w:r>
      <w:r w:rsidRPr="007D10E0">
        <w:rPr>
          <w:rStyle w:val="EndnoteReference"/>
          <w:vertAlign w:val="baseline"/>
        </w:rPr>
        <w:endnoteRef/>
      </w:r>
      <w:r w:rsidRPr="007D10E0">
        <w:rPr>
          <w:lang w:val="en-US"/>
        </w:rPr>
        <w:t xml:space="preserve">] </w:t>
      </w:r>
      <w:r w:rsidRPr="007D10E0">
        <w:rPr>
          <w:rStyle w:val="field"/>
          <w:lang w:val="en-US"/>
        </w:rPr>
        <w:t>ERC Annual Conference 2023: Research on diversity</w:t>
      </w:r>
      <w:r>
        <w:rPr>
          <w:rStyle w:val="field"/>
          <w:lang w:val="en-US"/>
        </w:rPr>
        <w:t xml:space="preserve">, </w:t>
      </w:r>
      <w:hyperlink r:id="rId1" w:history="1">
        <w:r w:rsidRPr="00E31CE9">
          <w:rPr>
            <w:rStyle w:val="Hyperlink"/>
            <w:lang w:val="en-US"/>
          </w:rPr>
          <w:t>https://erc.europa.eu/news-events/events/erc-annual-conference-2023-research-diversity</w:t>
        </w:r>
      </w:hyperlink>
      <w:r>
        <w:rPr>
          <w:rStyle w:val="field"/>
          <w:lang w:val="en-US"/>
        </w:rPr>
        <w:t xml:space="preserve"> </w:t>
      </w:r>
    </w:p>
  </w:endnote>
  <w:endnote w:id="3">
    <w:p w:rsidR="007D10E0" w:rsidRPr="007D10E0" w:rsidRDefault="007D10E0">
      <w:pPr>
        <w:pStyle w:val="EndnoteText"/>
        <w:rPr>
          <w:lang w:val="en-US"/>
        </w:rPr>
      </w:pPr>
      <w:r>
        <w:rPr>
          <w:lang w:val="en-US"/>
        </w:rPr>
        <w:t>[</w:t>
      </w:r>
      <w:r w:rsidRPr="007D10E0">
        <w:rPr>
          <w:rStyle w:val="EndnoteReference"/>
          <w:vertAlign w:val="baseline"/>
        </w:rPr>
        <w:endnoteRef/>
      </w:r>
      <w:r>
        <w:rPr>
          <w:lang w:val="en-US"/>
        </w:rPr>
        <w:t>]</w:t>
      </w:r>
      <w:r w:rsidRPr="007D10E0">
        <w:rPr>
          <w:lang w:val="en-US"/>
        </w:rPr>
        <w:t xml:space="preserve"> B. K. </w:t>
      </w:r>
      <w:proofErr w:type="spellStart"/>
      <w:r w:rsidRPr="007D10E0">
        <w:rPr>
          <w:lang w:val="en-US"/>
        </w:rPr>
        <w:t>AlShebli</w:t>
      </w:r>
      <w:proofErr w:type="spellEnd"/>
      <w:r w:rsidRPr="007D10E0">
        <w:rPr>
          <w:lang w:val="en-US"/>
        </w:rPr>
        <w:t xml:space="preserve">, T. </w:t>
      </w:r>
      <w:proofErr w:type="spellStart"/>
      <w:r w:rsidRPr="007D10E0">
        <w:rPr>
          <w:lang w:val="en-US"/>
        </w:rPr>
        <w:t>Rahwan</w:t>
      </w:r>
      <w:proofErr w:type="spellEnd"/>
      <w:r w:rsidRPr="007D10E0">
        <w:rPr>
          <w:lang w:val="en-US"/>
        </w:rPr>
        <w:t xml:space="preserve">, and W. L. </w:t>
      </w:r>
      <w:proofErr w:type="spellStart"/>
      <w:r w:rsidRPr="007D10E0">
        <w:rPr>
          <w:lang w:val="en-US"/>
        </w:rPr>
        <w:t>Woon</w:t>
      </w:r>
      <w:proofErr w:type="spellEnd"/>
      <w:r w:rsidRPr="007D10E0">
        <w:rPr>
          <w:lang w:val="en-US"/>
        </w:rPr>
        <w:t>,</w:t>
      </w:r>
      <w:r>
        <w:rPr>
          <w:lang w:val="en-US"/>
        </w:rPr>
        <w:t xml:space="preserve"> “</w:t>
      </w:r>
      <w:r w:rsidRPr="007D10E0">
        <w:rPr>
          <w:lang w:val="en-US"/>
        </w:rPr>
        <w:t>The preeminence of ethnic diversity in scientific collaboration</w:t>
      </w:r>
      <w:r>
        <w:rPr>
          <w:lang w:val="en-US"/>
        </w:rPr>
        <w:t xml:space="preserve">”, </w:t>
      </w:r>
      <w:r>
        <w:rPr>
          <w:rFonts w:ascii="TeXGyreTermesX-Italic" w:hAnsi="TeXGyreTermesX-Italic" w:cs="TeXGyreTermesX-Italic"/>
          <w:i/>
          <w:iCs/>
          <w:lang w:val="en-US"/>
        </w:rPr>
        <w:t xml:space="preserve">Nature Communications </w:t>
      </w:r>
      <w:r>
        <w:rPr>
          <w:rFonts w:ascii="TeXGyreTermesX-Bold" w:hAnsi="TeXGyreTermesX-Bold" w:cs="TeXGyreTermesX-Bold"/>
          <w:b/>
          <w:bCs/>
          <w:lang w:val="en-US"/>
        </w:rPr>
        <w:t xml:space="preserve">9 </w:t>
      </w:r>
      <w:r>
        <w:rPr>
          <w:rFonts w:ascii="TeXGyreTermesX-Regular" w:hAnsi="TeXGyreTermesX-Regular" w:cs="TeXGyreTermesX-Regular"/>
          <w:lang w:val="en-US"/>
        </w:rPr>
        <w:t>(2018) 5163.</w:t>
      </w:r>
      <w:r>
        <w:rPr>
          <w:rFonts w:ascii="TeXGyreTermesX-Regular" w:hAnsi="TeXGyreTermesX-Regular" w:cs="TeXGyreTermesX-Regular"/>
          <w:lang w:val="en-US"/>
        </w:rPr>
        <w:t xml:space="preserve">, </w:t>
      </w:r>
      <w:hyperlink r:id="rId2" w:history="1">
        <w:r w:rsidRPr="00E31CE9">
          <w:rPr>
            <w:rStyle w:val="Hyperlink"/>
            <w:rFonts w:ascii="TeXGyreTermesX-Regular" w:hAnsi="TeXGyreTermesX-Regular" w:cs="TeXGyreTermesX-Regular"/>
            <w:lang w:val="en-US"/>
          </w:rPr>
          <w:t>https://www.nature.com/articles/s41467-018-07634-8</w:t>
        </w:r>
      </w:hyperlink>
      <w:r>
        <w:rPr>
          <w:rFonts w:ascii="TeXGyreTermesX-Regular" w:hAnsi="TeXGyreTermesX-Regular" w:cs="TeXGyreTermesX-Regular"/>
          <w:lang w:val="en-US"/>
        </w:rPr>
        <w:t xml:space="preserve"> </w:t>
      </w:r>
    </w:p>
  </w:endnote>
  <w:endnote w:id="4">
    <w:p w:rsidR="00A202A2" w:rsidRDefault="00A202A2" w:rsidP="00A202A2">
      <w:pPr>
        <w:autoSpaceDE w:val="0"/>
        <w:autoSpaceDN w:val="0"/>
        <w:adjustRightInd w:val="0"/>
        <w:spacing w:after="0" w:line="240" w:lineRule="auto"/>
        <w:rPr>
          <w:rFonts w:ascii="TeXGyreTermesX-Italic" w:hAnsi="TeXGyreTermesX-Italic" w:cs="TeXGyreTermesX-Italic"/>
          <w:i/>
          <w:iCs/>
          <w:lang w:val="en-US"/>
        </w:rPr>
      </w:pPr>
      <w:r>
        <w:rPr>
          <w:lang w:val="en-US"/>
        </w:rPr>
        <w:t>[</w:t>
      </w:r>
      <w:r w:rsidRPr="00A202A2">
        <w:rPr>
          <w:rStyle w:val="EndnoteReference"/>
          <w:vertAlign w:val="baseline"/>
        </w:rPr>
        <w:endnoteRef/>
      </w:r>
      <w:r>
        <w:rPr>
          <w:lang w:val="en-US"/>
        </w:rPr>
        <w:t>]</w:t>
      </w:r>
      <w:r w:rsidRPr="00A202A2">
        <w:rPr>
          <w:lang w:val="en-US"/>
        </w:rPr>
        <w:t xml:space="preserve"> </w:t>
      </w:r>
      <w:r>
        <w:rPr>
          <w:rFonts w:ascii="TeXGyreTermesX-Regular" w:hAnsi="TeXGyreTermesX-Regular" w:cs="TeXGyreTermesX-Regular"/>
          <w:lang w:val="en-US"/>
        </w:rPr>
        <w:t>B. Hofstra, V. V. Kulkarni, S. Munoz-</w:t>
      </w:r>
      <w:proofErr w:type="spellStart"/>
      <w:r>
        <w:rPr>
          <w:rFonts w:ascii="TeXGyreTermesX-Regular" w:hAnsi="TeXGyreTermesX-Regular" w:cs="TeXGyreTermesX-Regular"/>
          <w:lang w:val="en-US"/>
        </w:rPr>
        <w:t>Najar</w:t>
      </w:r>
      <w:proofErr w:type="spellEnd"/>
      <w:r>
        <w:rPr>
          <w:rFonts w:ascii="TeXGyreTermesX-Regular" w:hAnsi="TeXGyreTermesX-Regular" w:cs="TeXGyreTermesX-Regular"/>
          <w:lang w:val="en-US"/>
        </w:rPr>
        <w:t xml:space="preserve"> Galvez, B. He, D. </w:t>
      </w:r>
      <w:proofErr w:type="spellStart"/>
      <w:r>
        <w:rPr>
          <w:rFonts w:ascii="TeXGyreTermesX-Regular" w:hAnsi="TeXGyreTermesX-Regular" w:cs="TeXGyreTermesX-Regular"/>
          <w:lang w:val="en-US"/>
        </w:rPr>
        <w:t>Jurafsky</w:t>
      </w:r>
      <w:proofErr w:type="spellEnd"/>
      <w:r>
        <w:rPr>
          <w:rFonts w:ascii="TeXGyreTermesX-Regular" w:hAnsi="TeXGyreTermesX-Regular" w:cs="TeXGyreTermesX-Regular"/>
          <w:lang w:val="en-US"/>
        </w:rPr>
        <w:t>, and D. A. McFarland,</w:t>
      </w:r>
      <w:r>
        <w:rPr>
          <w:rFonts w:ascii="TeXGyreTermesX-Regular" w:hAnsi="TeXGyreTermesX-Regular" w:cs="TeXGyreTermesX-Regular"/>
          <w:lang w:val="en-US"/>
        </w:rPr>
        <w:t xml:space="preserve"> “</w:t>
      </w:r>
      <w:r>
        <w:rPr>
          <w:rFonts w:ascii="TeXGyreTermesX-Italic" w:hAnsi="TeXGyreTermesX-Italic" w:cs="TeXGyreTermesX-Italic"/>
          <w:i/>
          <w:iCs/>
          <w:lang w:val="en-US"/>
        </w:rPr>
        <w:t>The diversity-innovation paradox in science</w:t>
      </w:r>
      <w:r>
        <w:rPr>
          <w:rFonts w:ascii="TeXGyreTermesX-Italic" w:hAnsi="TeXGyreTermesX-Italic" w:cs="TeXGyreTermesX-Italic"/>
          <w:i/>
          <w:iCs/>
          <w:lang w:val="en-US"/>
        </w:rPr>
        <w:t>”</w:t>
      </w:r>
      <w:r>
        <w:rPr>
          <w:rFonts w:ascii="TeXGyreTermesX-Regular" w:hAnsi="TeXGyreTermesX-Regular" w:cs="TeXGyreTermesX-Regular"/>
          <w:lang w:val="en-US"/>
        </w:rPr>
        <w:t xml:space="preserve">, </w:t>
      </w:r>
      <w:r>
        <w:rPr>
          <w:rFonts w:ascii="TeXGyreTermesX-Italic" w:hAnsi="TeXGyreTermesX-Italic" w:cs="TeXGyreTermesX-Italic"/>
          <w:i/>
          <w:iCs/>
          <w:lang w:val="en-US"/>
        </w:rPr>
        <w:t>Proceedings of the National Academy of Sciences</w:t>
      </w:r>
    </w:p>
    <w:p w:rsidR="00A202A2" w:rsidRPr="00A202A2" w:rsidRDefault="00A202A2" w:rsidP="00A202A2">
      <w:pPr>
        <w:pStyle w:val="EndnoteText"/>
        <w:rPr>
          <w:lang w:val="en-US"/>
        </w:rPr>
      </w:pPr>
      <w:r>
        <w:rPr>
          <w:rFonts w:ascii="TeXGyreTermesX-Italic" w:hAnsi="TeXGyreTermesX-Italic" w:cs="TeXGyreTermesX-Italic"/>
          <w:i/>
          <w:iCs/>
          <w:lang w:val="en-US"/>
        </w:rPr>
        <w:t xml:space="preserve">of the United States of America </w:t>
      </w:r>
      <w:r>
        <w:rPr>
          <w:rFonts w:ascii="TeXGyreTermesX-Bold" w:hAnsi="TeXGyreTermesX-Bold" w:cs="TeXGyreTermesX-Bold"/>
          <w:b/>
          <w:bCs/>
          <w:lang w:val="en-US"/>
        </w:rPr>
        <w:t xml:space="preserve">117 </w:t>
      </w:r>
      <w:r>
        <w:rPr>
          <w:rFonts w:ascii="TeXGyreTermesX-Regular" w:hAnsi="TeXGyreTermesX-Regular" w:cs="TeXGyreTermesX-Regular"/>
          <w:lang w:val="en-US"/>
        </w:rPr>
        <w:t>(April, 2020) 9284–9291.</w:t>
      </w:r>
      <w:r>
        <w:rPr>
          <w:rFonts w:ascii="TeXGyreTermesX-Regular" w:hAnsi="TeXGyreTermesX-Regular" w:cs="TeXGyreTermesX-Regular"/>
          <w:lang w:val="en-US"/>
        </w:rPr>
        <w:t>,</w:t>
      </w:r>
      <w:r w:rsidRPr="00A202A2">
        <w:rPr>
          <w:lang w:val="en-US"/>
        </w:rPr>
        <w:t xml:space="preserve"> </w:t>
      </w:r>
      <w:hyperlink r:id="rId3" w:history="1">
        <w:r w:rsidRPr="00E31CE9">
          <w:rPr>
            <w:rStyle w:val="Hyperlink"/>
            <w:rFonts w:ascii="TeXGyreTermesX-Regular" w:hAnsi="TeXGyreTermesX-Regular" w:cs="TeXGyreTermesX-Regular"/>
            <w:lang w:val="en-US"/>
          </w:rPr>
          <w:t>https://arxiv.org/abs/1909.02063</w:t>
        </w:r>
      </w:hyperlink>
      <w:r>
        <w:rPr>
          <w:rFonts w:ascii="TeXGyreTermesX-Regular" w:hAnsi="TeXGyreTermesX-Regular" w:cs="TeXGyreTermesX-Regular"/>
          <w:lang w:val="en-US"/>
        </w:rPr>
        <w:t xml:space="preserve"> </w:t>
      </w:r>
    </w:p>
  </w:endnote>
  <w:endnote w:id="5">
    <w:p w:rsidR="00A202A2" w:rsidRPr="00A202A2" w:rsidRDefault="00A202A2" w:rsidP="00A202A2">
      <w:pPr>
        <w:pStyle w:val="EndnoteText"/>
        <w:rPr>
          <w:lang w:val="en-US"/>
        </w:rPr>
      </w:pPr>
      <w:r>
        <w:rPr>
          <w:lang w:val="en-US"/>
        </w:rPr>
        <w:t>[</w:t>
      </w:r>
      <w:r w:rsidRPr="00A202A2">
        <w:rPr>
          <w:rStyle w:val="EndnoteReference"/>
          <w:vertAlign w:val="baseline"/>
        </w:rPr>
        <w:endnoteRef/>
      </w:r>
      <w:r>
        <w:rPr>
          <w:lang w:val="en-US"/>
        </w:rPr>
        <w:t>]</w:t>
      </w:r>
      <w:r w:rsidRPr="00A202A2">
        <w:rPr>
          <w:lang w:val="en-US"/>
        </w:rPr>
        <w:t xml:space="preserve"> </w:t>
      </w:r>
      <w:r w:rsidRPr="00A202A2">
        <w:rPr>
          <w:lang w:val="en-US"/>
        </w:rPr>
        <w:t>L. Hong and S. E. Page, Groups of diverse problem solvers can outperform groups of</w:t>
      </w:r>
    </w:p>
    <w:p w:rsidR="00A202A2" w:rsidRPr="00A202A2" w:rsidRDefault="00A202A2" w:rsidP="00A202A2">
      <w:pPr>
        <w:pStyle w:val="EndnoteText"/>
        <w:rPr>
          <w:lang w:val="en-US"/>
        </w:rPr>
      </w:pPr>
      <w:r w:rsidRPr="00A202A2">
        <w:rPr>
          <w:lang w:val="en-US"/>
        </w:rPr>
        <w:t>high-ability problem solvers, Proceedings of the National Academy of Sciences of the United</w:t>
      </w:r>
    </w:p>
    <w:p w:rsidR="00A202A2" w:rsidRPr="00A202A2" w:rsidRDefault="00A202A2" w:rsidP="00A202A2">
      <w:pPr>
        <w:pStyle w:val="EndnoteText"/>
        <w:rPr>
          <w:lang w:val="en-US"/>
        </w:rPr>
      </w:pPr>
      <w:r w:rsidRPr="00A202A2">
        <w:rPr>
          <w:lang w:val="en-US"/>
        </w:rPr>
        <w:t>States of America 101 (November, 2004) 16385–16389.</w:t>
      </w:r>
      <w:r>
        <w:rPr>
          <w:lang w:val="en-US"/>
        </w:rPr>
        <w:t xml:space="preserve">, </w:t>
      </w:r>
      <w:hyperlink r:id="rId4" w:history="1">
        <w:r w:rsidRPr="00E31CE9">
          <w:rPr>
            <w:rStyle w:val="Hyperlink"/>
            <w:lang w:val="en-US"/>
          </w:rPr>
          <w:t>https://www.pnas.org/doi/full/10.1073/pnas.0403723101</w:t>
        </w:r>
      </w:hyperlink>
      <w:r>
        <w:rPr>
          <w:lang w:val="en-US"/>
        </w:rPr>
        <w:t xml:space="preserve"> </w:t>
      </w:r>
    </w:p>
  </w:endnote>
  <w:endnote w:id="6">
    <w:p w:rsidR="00A202A2" w:rsidRPr="00A202A2" w:rsidRDefault="00A202A2" w:rsidP="00A202A2">
      <w:pPr>
        <w:pStyle w:val="EndnoteText"/>
        <w:rPr>
          <w:lang w:val="en-US"/>
        </w:rPr>
      </w:pPr>
      <w:r>
        <w:rPr>
          <w:lang w:val="en-US"/>
        </w:rPr>
        <w:t>[</w:t>
      </w:r>
      <w:r w:rsidRPr="00A202A2">
        <w:rPr>
          <w:rStyle w:val="EndnoteReference"/>
          <w:vertAlign w:val="baseline"/>
        </w:rPr>
        <w:endnoteRef/>
      </w:r>
      <w:r>
        <w:rPr>
          <w:lang w:val="en-US"/>
        </w:rPr>
        <w:t>]</w:t>
      </w:r>
      <w:r w:rsidRPr="00A202A2">
        <w:rPr>
          <w:lang w:val="en-US"/>
        </w:rPr>
        <w:t xml:space="preserve"> </w:t>
      </w:r>
      <w:r w:rsidRPr="00A202A2">
        <w:rPr>
          <w:lang w:val="en-US"/>
        </w:rPr>
        <w:t xml:space="preserve">LHC experiments, Collaboration • </w:t>
      </w:r>
      <w:hyperlink r:id="rId5" w:history="1">
        <w:r w:rsidRPr="00A202A2">
          <w:rPr>
            <w:rStyle w:val="Hyperlink"/>
            <w:lang w:val="en-US"/>
          </w:rPr>
          <w:t>Ananya Rai</w:t>
        </w:r>
      </w:hyperlink>
      <w:r w:rsidRPr="00A202A2">
        <w:rPr>
          <w:lang w:val="en-US"/>
        </w:rPr>
        <w:t xml:space="preserve"> for the collaboration</w:t>
      </w:r>
      <w:r>
        <w:rPr>
          <w:lang w:val="en-US"/>
        </w:rPr>
        <w:t>, “</w:t>
      </w:r>
      <w:r w:rsidRPr="00A202A2">
        <w:rPr>
          <w:lang w:val="en-US"/>
        </w:rPr>
        <w:t>Diversity and Inclusion at the LHC</w:t>
      </w:r>
      <w:r>
        <w:rPr>
          <w:lang w:val="en-US"/>
        </w:rPr>
        <w:t xml:space="preserve">”, </w:t>
      </w:r>
      <w:r w:rsidRPr="00A202A2">
        <w:rPr>
          <w:lang w:val="en-US"/>
        </w:rPr>
        <w:t>DOI: 10.22323/1.478.0209</w:t>
      </w:r>
      <w:r>
        <w:rPr>
          <w:lang w:val="en-US"/>
        </w:rPr>
        <w:t xml:space="preserve">, </w:t>
      </w:r>
      <w:r w:rsidRPr="00A202A2">
        <w:rPr>
          <w:lang w:val="en-US"/>
        </w:rPr>
        <w:t xml:space="preserve">Published in: </w:t>
      </w:r>
      <w:proofErr w:type="spellStart"/>
      <w:r w:rsidRPr="00A202A2">
        <w:rPr>
          <w:lang w:val="en-US"/>
        </w:rPr>
        <w:t>PoS</w:t>
      </w:r>
      <w:proofErr w:type="spellEnd"/>
      <w:r w:rsidRPr="00A202A2">
        <w:rPr>
          <w:lang w:val="en-US"/>
        </w:rPr>
        <w:t xml:space="preserve"> LHCP2024 (2025), 209</w:t>
      </w:r>
      <w:r>
        <w:rPr>
          <w:lang w:val="en-US"/>
        </w:rPr>
        <w:t xml:space="preserve">, </w:t>
      </w:r>
      <w:hyperlink r:id="rId6" w:history="1">
        <w:r w:rsidRPr="00E31CE9">
          <w:rPr>
            <w:rStyle w:val="Hyperlink"/>
            <w:lang w:val="en-US"/>
          </w:rPr>
          <w:t>https://inspirehep.net/literature/2866453</w:t>
        </w:r>
      </w:hyperlink>
      <w:r>
        <w:rPr>
          <w:lang w:val="en-US"/>
        </w:rPr>
        <w:t xml:space="preserve"> </w:t>
      </w:r>
    </w:p>
  </w:endnote>
  <w:endnote w:id="7">
    <w:p w:rsidR="00DE1060" w:rsidRPr="007D10E0" w:rsidRDefault="00DE1060">
      <w:pPr>
        <w:pStyle w:val="EndnoteText"/>
        <w:rPr>
          <w:lang w:val="en-US"/>
        </w:rPr>
      </w:pPr>
      <w:r w:rsidRPr="007D10E0">
        <w:rPr>
          <w:lang w:val="en-US"/>
        </w:rPr>
        <w:t>[</w:t>
      </w:r>
      <w:r w:rsidRPr="00DE1060">
        <w:rPr>
          <w:rStyle w:val="EndnoteReference"/>
          <w:vertAlign w:val="baseline"/>
        </w:rPr>
        <w:endnoteRef/>
      </w:r>
      <w:r w:rsidRPr="007D10E0">
        <w:rPr>
          <w:lang w:val="en-US"/>
        </w:rPr>
        <w:t xml:space="preserve">] </w:t>
      </w:r>
      <w:r w:rsidRPr="007D10E0">
        <w:rPr>
          <w:lang w:val="en-US"/>
        </w:rPr>
        <w:t>https://www.charta-der-vielfalt.de/en/</w:t>
      </w:r>
    </w:p>
  </w:endnote>
  <w:endnote w:id="8">
    <w:p w:rsidR="007554F6" w:rsidRPr="000167AC" w:rsidRDefault="007554F6">
      <w:pPr>
        <w:pStyle w:val="EndnoteText"/>
      </w:pPr>
      <w:r w:rsidRPr="000167AC">
        <w:t>[</w:t>
      </w:r>
      <w:r w:rsidRPr="007554F6">
        <w:rPr>
          <w:rStyle w:val="EndnoteReference"/>
          <w:vertAlign w:val="baseline"/>
        </w:rPr>
        <w:endnoteRef/>
      </w:r>
      <w:r w:rsidRPr="000167AC">
        <w:t xml:space="preserve">] </w:t>
      </w:r>
      <w:r w:rsidRPr="000167AC">
        <w:t>https://home.cern/resources/brochure/cern/cerns-main-objectives-2021-2025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TermesX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GyreTermesX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GyreTermesX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4FF" w:rsidRDefault="004174FF" w:rsidP="00DE1060">
      <w:pPr>
        <w:spacing w:after="0" w:line="240" w:lineRule="auto"/>
      </w:pPr>
      <w:r>
        <w:separator/>
      </w:r>
    </w:p>
  </w:footnote>
  <w:footnote w:type="continuationSeparator" w:id="0">
    <w:p w:rsidR="004174FF" w:rsidRDefault="004174FF" w:rsidP="00DE1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60"/>
    <w:rsid w:val="000167AC"/>
    <w:rsid w:val="00091D4A"/>
    <w:rsid w:val="004174FF"/>
    <w:rsid w:val="005E39EC"/>
    <w:rsid w:val="00696B49"/>
    <w:rsid w:val="006E1ED3"/>
    <w:rsid w:val="007554F6"/>
    <w:rsid w:val="007D10E0"/>
    <w:rsid w:val="00907190"/>
    <w:rsid w:val="00A05BEB"/>
    <w:rsid w:val="00A202A2"/>
    <w:rsid w:val="00B6286A"/>
    <w:rsid w:val="00CC4773"/>
    <w:rsid w:val="00D97879"/>
    <w:rsid w:val="00D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7985"/>
  <w15:chartTrackingRefBased/>
  <w15:docId w15:val="{2D099BA2-E9E6-4531-942F-50AD31E4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E10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10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106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96B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3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9E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07190"/>
    <w:rPr>
      <w:i/>
      <w:iCs/>
    </w:rPr>
  </w:style>
  <w:style w:type="character" w:customStyle="1" w:styleId="field">
    <w:name w:val="field"/>
    <w:basedOn w:val="DefaultParagraphFont"/>
    <w:rsid w:val="007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rxiv.org/abs/1909.02063" TargetMode="External"/><Relationship Id="rId2" Type="http://schemas.openxmlformats.org/officeDocument/2006/relationships/hyperlink" Target="https://www.nature.com/articles/s41467-018-07634-8" TargetMode="External"/><Relationship Id="rId1" Type="http://schemas.openxmlformats.org/officeDocument/2006/relationships/hyperlink" Target="https://erc.europa.eu/news-events/events/erc-annual-conference-2023-research-diversity" TargetMode="External"/><Relationship Id="rId6" Type="http://schemas.openxmlformats.org/officeDocument/2006/relationships/hyperlink" Target="https://inspirehep.net/literature/2866453" TargetMode="External"/><Relationship Id="rId5" Type="http://schemas.openxmlformats.org/officeDocument/2006/relationships/hyperlink" Target="https://inspirehep.net/authors/1987935" TargetMode="External"/><Relationship Id="rId4" Type="http://schemas.openxmlformats.org/officeDocument/2006/relationships/hyperlink" Target="https://www.pnas.org/doi/full/10.1073/pnas.0403723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713A0-4BAB-490D-8AF5-3498E142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Issever, Cigdem</dc:creator>
  <cp:keywords/>
  <dc:description/>
  <cp:lastModifiedBy>Issever, Cigdem</cp:lastModifiedBy>
  <cp:revision>2</cp:revision>
  <dcterms:created xsi:type="dcterms:W3CDTF">2025-01-17T12:06:00Z</dcterms:created>
  <dcterms:modified xsi:type="dcterms:W3CDTF">2025-01-17T15:42:00Z</dcterms:modified>
</cp:coreProperties>
</file>