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B24E" w14:textId="77777777" w:rsidR="00545C0A" w:rsidRDefault="006C4360">
      <w:pPr>
        <w:spacing w:after="52" w:line="259" w:lineRule="auto"/>
        <w:ind w:left="0" w:right="0" w:firstLine="0"/>
      </w:pPr>
      <w:r>
        <w:t xml:space="preserve"> </w:t>
      </w:r>
    </w:p>
    <w:p w14:paraId="65EB3991" w14:textId="24F8AFD0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b/>
          <w:color w:val="000000" w:themeColor="text1"/>
        </w:rPr>
        <w:t>AGBR-Ausschuss „</w:t>
      </w:r>
      <w:r w:rsidR="004C3B29">
        <w:rPr>
          <w:rFonts w:ascii="Arial" w:hAnsi="Arial" w:cs="Arial"/>
          <w:b/>
          <w:color w:val="000000" w:themeColor="text1"/>
        </w:rPr>
        <w:t>Gleichstellung</w:t>
      </w:r>
      <w:r w:rsidRPr="004569B3">
        <w:rPr>
          <w:rFonts w:ascii="Arial" w:hAnsi="Arial" w:cs="Arial"/>
          <w:b/>
          <w:color w:val="000000" w:themeColor="text1"/>
        </w:rPr>
        <w:t xml:space="preserve">“ </w:t>
      </w:r>
    </w:p>
    <w:p w14:paraId="0C0C6AB6" w14:textId="77777777" w:rsidR="00545C0A" w:rsidRPr="004569B3" w:rsidRDefault="006C4360">
      <w:pPr>
        <w:spacing w:after="13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53668555" w14:textId="4E8C2BA4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  <w:u w:val="single" w:color="000000"/>
        </w:rPr>
        <w:t xml:space="preserve">Der Ausschuss verständigt sich über folgende </w:t>
      </w:r>
      <w:r w:rsidR="003F1B71" w:rsidRPr="004569B3">
        <w:rPr>
          <w:rFonts w:ascii="Arial" w:hAnsi="Arial" w:cs="Arial"/>
          <w:color w:val="000000" w:themeColor="text1"/>
          <w:u w:val="single" w:color="000000"/>
        </w:rPr>
        <w:t>Arbeitsweise</w:t>
      </w: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1F15F715" w14:textId="77777777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4373ADC0" w14:textId="2233EDA4" w:rsidR="003F1B71" w:rsidRPr="004569B3" w:rsidRDefault="004E6528">
      <w:pPr>
        <w:ind w:left="-5"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>- Von den Mitgliedern des Ausschusses wird eine regelmäßig</w:t>
      </w:r>
      <w:r w:rsidR="004C3B29">
        <w:rPr>
          <w:rFonts w:ascii="Arial" w:hAnsi="Arial" w:cs="Arial"/>
          <w:color w:val="000000" w:themeColor="text1"/>
        </w:rPr>
        <w:t>e und</w:t>
      </w:r>
      <w:r w:rsidRPr="004569B3">
        <w:rPr>
          <w:rFonts w:ascii="Arial" w:hAnsi="Arial" w:cs="Arial"/>
          <w:color w:val="000000" w:themeColor="text1"/>
        </w:rPr>
        <w:t xml:space="preserve"> aktive Mitarbeit erwartet. </w:t>
      </w:r>
    </w:p>
    <w:p w14:paraId="28B49501" w14:textId="7900EF17" w:rsidR="00545C0A" w:rsidRPr="004569B3" w:rsidRDefault="004E6528">
      <w:pPr>
        <w:ind w:left="-5"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- Der Ausschuss trifft sich </w:t>
      </w:r>
      <w:r w:rsidR="004C3B29">
        <w:rPr>
          <w:rFonts w:ascii="Arial" w:hAnsi="Arial" w:cs="Arial"/>
          <w:color w:val="000000" w:themeColor="text1"/>
        </w:rPr>
        <w:t>ein</w:t>
      </w:r>
      <w:r w:rsidRPr="004569B3">
        <w:rPr>
          <w:rFonts w:ascii="Arial" w:hAnsi="Arial" w:cs="Arial"/>
          <w:color w:val="000000" w:themeColor="text1"/>
        </w:rPr>
        <w:t>mal jährlich</w:t>
      </w:r>
      <w:r w:rsidR="004C3B29">
        <w:rPr>
          <w:rFonts w:ascii="Arial" w:hAnsi="Arial" w:cs="Arial"/>
          <w:color w:val="000000" w:themeColor="text1"/>
        </w:rPr>
        <w:t xml:space="preserve"> im Herbst.</w:t>
      </w:r>
    </w:p>
    <w:p w14:paraId="434AFC7D" w14:textId="77777777" w:rsidR="004E6528" w:rsidRPr="004569B3" w:rsidRDefault="004E6528">
      <w:pPr>
        <w:ind w:left="-5" w:right="0"/>
        <w:rPr>
          <w:rFonts w:ascii="Arial" w:hAnsi="Arial" w:cs="Arial"/>
          <w:color w:val="000000" w:themeColor="text1"/>
        </w:rPr>
      </w:pPr>
    </w:p>
    <w:p w14:paraId="32C51FEE" w14:textId="1C2DDCF3" w:rsidR="00545C0A" w:rsidRPr="004569B3" w:rsidRDefault="004E6528">
      <w:pPr>
        <w:ind w:left="-5"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- Für die </w:t>
      </w:r>
      <w:r w:rsidR="004C3B29">
        <w:rPr>
          <w:rFonts w:ascii="Arial" w:hAnsi="Arial" w:cs="Arial"/>
          <w:color w:val="000000" w:themeColor="text1"/>
        </w:rPr>
        <w:t>Vorbereitung und den Ablauf der Sitzungen</w:t>
      </w:r>
      <w:r w:rsidRPr="004569B3">
        <w:rPr>
          <w:rFonts w:ascii="Arial" w:hAnsi="Arial" w:cs="Arial"/>
          <w:color w:val="000000" w:themeColor="text1"/>
        </w:rPr>
        <w:t xml:space="preserve"> gelten folgende Gepflogenheiten: </w:t>
      </w:r>
    </w:p>
    <w:p w14:paraId="4F66BBC3" w14:textId="77777777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333DFA90" w14:textId="1B7382BE" w:rsidR="00545C0A" w:rsidRPr="004569B3" w:rsidRDefault="006C4360" w:rsidP="003F1B71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Die Sitzungen werden </w:t>
      </w:r>
      <w:r w:rsidR="003F1B71" w:rsidRPr="004569B3">
        <w:rPr>
          <w:rFonts w:ascii="Arial" w:hAnsi="Arial" w:cs="Arial"/>
          <w:color w:val="000000" w:themeColor="text1"/>
        </w:rPr>
        <w:t xml:space="preserve">vom Sprecherkreis </w:t>
      </w:r>
      <w:r w:rsidR="004C3B29">
        <w:rPr>
          <w:rFonts w:ascii="Arial" w:hAnsi="Arial" w:cs="Arial"/>
          <w:color w:val="000000" w:themeColor="text1"/>
        </w:rPr>
        <w:t xml:space="preserve">in Abstimmung mit dem gastgebenden Zentrum </w:t>
      </w:r>
      <w:r w:rsidRPr="004569B3">
        <w:rPr>
          <w:rFonts w:ascii="Arial" w:hAnsi="Arial" w:cs="Arial"/>
          <w:color w:val="000000" w:themeColor="text1"/>
        </w:rPr>
        <w:t xml:space="preserve">einberufen. Die Einladung soll den Mitgliedern in der Regel spätestens </w:t>
      </w:r>
      <w:r w:rsidR="004C3B29">
        <w:rPr>
          <w:rFonts w:ascii="Arial" w:hAnsi="Arial" w:cs="Arial"/>
          <w:color w:val="000000" w:themeColor="text1"/>
        </w:rPr>
        <w:t>4</w:t>
      </w:r>
      <w:r w:rsidRPr="004569B3">
        <w:rPr>
          <w:rFonts w:ascii="Arial" w:hAnsi="Arial" w:cs="Arial"/>
          <w:color w:val="000000" w:themeColor="text1"/>
        </w:rPr>
        <w:t xml:space="preserve"> Wochen vor der Sitzung vorliegen. </w:t>
      </w:r>
    </w:p>
    <w:p w14:paraId="6BC22E2B" w14:textId="77777777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137208E2" w14:textId="26D4A551" w:rsidR="00545C0A" w:rsidRPr="004569B3" w:rsidRDefault="003F1B71" w:rsidP="003F1B71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Ein Mitglied des Sprecherkreises leitet die Sitzung. </w:t>
      </w:r>
      <w:r w:rsidR="004C3B29">
        <w:rPr>
          <w:rFonts w:ascii="Arial" w:hAnsi="Arial" w:cs="Arial"/>
          <w:color w:val="000000" w:themeColor="text1"/>
        </w:rPr>
        <w:t xml:space="preserve">Alternativ können die Teilnehmenden der Sitzung mehrheitlich eine Person zur Sitzungsleitung benennen. </w:t>
      </w: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18CB70E3" w14:textId="77777777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4FB68370" w14:textId="634680CC" w:rsidR="00545C0A" w:rsidRPr="004569B3" w:rsidRDefault="006C4360" w:rsidP="003F1B71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Zu Beginn der Sitzung ist über die vorgeschlagene Tagesordnung, sowie über Anträge auf Änderung oder Ergänzung derselben abzustimmen. </w:t>
      </w:r>
    </w:p>
    <w:p w14:paraId="27DD4AC3" w14:textId="77777777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25E65064" w14:textId="0BA75D3C" w:rsidR="00B21D06" w:rsidRDefault="003F1B71" w:rsidP="00B21D06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937F4F">
        <w:rPr>
          <w:rFonts w:ascii="Arial" w:hAnsi="Arial" w:cs="Arial"/>
          <w:color w:val="000000" w:themeColor="text1"/>
        </w:rPr>
        <w:t>Jede</w:t>
      </w:r>
      <w:r w:rsidR="004C3B29" w:rsidRPr="00937F4F">
        <w:rPr>
          <w:rFonts w:ascii="Arial" w:hAnsi="Arial" w:cs="Arial"/>
          <w:color w:val="000000" w:themeColor="text1"/>
        </w:rPr>
        <w:t xml:space="preserve"> Person, die einen Vorschlag zur Tagesordnung gemacht hat</w:t>
      </w:r>
      <w:r w:rsidR="00937F4F" w:rsidRPr="00937F4F">
        <w:rPr>
          <w:rFonts w:ascii="Arial" w:hAnsi="Arial" w:cs="Arial"/>
          <w:color w:val="000000" w:themeColor="text1"/>
        </w:rPr>
        <w:t xml:space="preserve">, </w:t>
      </w:r>
      <w:r w:rsidR="004C3B29" w:rsidRPr="00937F4F">
        <w:rPr>
          <w:rFonts w:ascii="Arial" w:hAnsi="Arial" w:cs="Arial"/>
          <w:color w:val="000000" w:themeColor="text1"/>
        </w:rPr>
        <w:t xml:space="preserve">soll zu </w:t>
      </w:r>
      <w:r w:rsidR="00937F4F" w:rsidRPr="00937F4F">
        <w:rPr>
          <w:rFonts w:ascii="Arial" w:hAnsi="Arial" w:cs="Arial"/>
          <w:color w:val="000000" w:themeColor="text1"/>
        </w:rPr>
        <w:t xml:space="preserve">diesem von ihr selbst </w:t>
      </w:r>
      <w:r w:rsidRPr="00937F4F">
        <w:rPr>
          <w:rFonts w:ascii="Arial" w:hAnsi="Arial" w:cs="Arial"/>
          <w:color w:val="000000" w:themeColor="text1"/>
        </w:rPr>
        <w:t xml:space="preserve">eingebrachten Beratungsgegenstand eine Einführung geben. </w:t>
      </w:r>
    </w:p>
    <w:p w14:paraId="43697FF0" w14:textId="77777777" w:rsidR="00937F4F" w:rsidRPr="00937F4F" w:rsidRDefault="00937F4F" w:rsidP="00937F4F">
      <w:pPr>
        <w:pStyle w:val="Listenabsatz"/>
        <w:rPr>
          <w:rFonts w:ascii="Arial" w:hAnsi="Arial" w:cs="Arial"/>
          <w:color w:val="000000" w:themeColor="text1"/>
        </w:rPr>
      </w:pPr>
    </w:p>
    <w:p w14:paraId="5B173F5A" w14:textId="43FC3B89" w:rsidR="00B21D06" w:rsidRPr="004569B3" w:rsidRDefault="00B21D06" w:rsidP="00B21D06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Beschlüsse werden mit einfacher Mehrheit </w:t>
      </w:r>
      <w:r w:rsidR="00937F4F">
        <w:rPr>
          <w:rFonts w:ascii="Arial" w:hAnsi="Arial" w:cs="Arial"/>
          <w:color w:val="000000" w:themeColor="text1"/>
        </w:rPr>
        <w:t xml:space="preserve">der Teilnehmenden </w:t>
      </w:r>
      <w:r w:rsidRPr="004569B3">
        <w:rPr>
          <w:rFonts w:ascii="Arial" w:hAnsi="Arial" w:cs="Arial"/>
          <w:color w:val="000000" w:themeColor="text1"/>
        </w:rPr>
        <w:t>gefasst. Abstimmungen erfolgen durch Handzeichen</w:t>
      </w:r>
      <w:r w:rsidR="00937F4F">
        <w:rPr>
          <w:rFonts w:ascii="Arial" w:hAnsi="Arial" w:cs="Arial"/>
          <w:color w:val="000000" w:themeColor="text1"/>
        </w:rPr>
        <w:t>, d</w:t>
      </w:r>
      <w:r w:rsidRPr="004569B3">
        <w:rPr>
          <w:rFonts w:ascii="Arial" w:hAnsi="Arial" w:cs="Arial"/>
          <w:color w:val="000000" w:themeColor="text1"/>
        </w:rPr>
        <w:t xml:space="preserve">as Ergebnis </w:t>
      </w:r>
      <w:r w:rsidR="00937F4F">
        <w:rPr>
          <w:rFonts w:ascii="Arial" w:hAnsi="Arial" w:cs="Arial"/>
          <w:color w:val="000000" w:themeColor="text1"/>
        </w:rPr>
        <w:t>wird</w:t>
      </w:r>
      <w:r w:rsidRPr="004569B3">
        <w:rPr>
          <w:rFonts w:ascii="Arial" w:hAnsi="Arial" w:cs="Arial"/>
          <w:color w:val="000000" w:themeColor="text1"/>
        </w:rPr>
        <w:t xml:space="preserve"> im Protokoll festgehalten.</w:t>
      </w:r>
    </w:p>
    <w:p w14:paraId="17FB85BA" w14:textId="77777777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3EF9F5A7" w14:textId="3BD5AC70" w:rsidR="00545C0A" w:rsidRDefault="006C4360" w:rsidP="00937F4F">
      <w:pPr>
        <w:pStyle w:val="Listenabsatz"/>
        <w:numPr>
          <w:ilvl w:val="0"/>
          <w:numId w:val="2"/>
        </w:numPr>
        <w:ind w:right="0" w:firstLine="0"/>
        <w:rPr>
          <w:rFonts w:ascii="Arial" w:hAnsi="Arial" w:cs="Arial"/>
          <w:color w:val="000000" w:themeColor="text1"/>
        </w:rPr>
      </w:pPr>
      <w:r w:rsidRPr="00937F4F">
        <w:rPr>
          <w:rFonts w:ascii="Arial" w:hAnsi="Arial" w:cs="Arial"/>
          <w:color w:val="000000" w:themeColor="text1"/>
        </w:rPr>
        <w:t xml:space="preserve">Die Sitzungsleitung führt eine Rednerliste. Das Wort wird grundsätzlich in der Reihenfolge der </w:t>
      </w:r>
      <w:r w:rsidR="00937F4F">
        <w:rPr>
          <w:rFonts w:ascii="Arial" w:hAnsi="Arial" w:cs="Arial"/>
          <w:color w:val="000000" w:themeColor="text1"/>
        </w:rPr>
        <w:t>M</w:t>
      </w:r>
      <w:r w:rsidRPr="00937F4F">
        <w:rPr>
          <w:rFonts w:ascii="Arial" w:hAnsi="Arial" w:cs="Arial"/>
          <w:color w:val="000000" w:themeColor="text1"/>
        </w:rPr>
        <w:t xml:space="preserve">eldungen erteilt. </w:t>
      </w:r>
    </w:p>
    <w:p w14:paraId="669D5626" w14:textId="77777777" w:rsidR="00937F4F" w:rsidRPr="00937F4F" w:rsidRDefault="00937F4F" w:rsidP="00937F4F">
      <w:pPr>
        <w:pStyle w:val="Listenabsatz"/>
        <w:rPr>
          <w:rFonts w:ascii="Arial" w:hAnsi="Arial" w:cs="Arial"/>
          <w:color w:val="000000" w:themeColor="text1"/>
        </w:rPr>
      </w:pPr>
    </w:p>
    <w:p w14:paraId="6FE011B5" w14:textId="62A5B54D" w:rsidR="004569B3" w:rsidRPr="00937F4F" w:rsidRDefault="00B21D06" w:rsidP="004569B3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strike/>
          <w:color w:val="000000" w:themeColor="text1"/>
        </w:rPr>
      </w:pPr>
      <w:r w:rsidRPr="00937F4F">
        <w:rPr>
          <w:rFonts w:ascii="Arial" w:hAnsi="Arial" w:cs="Arial"/>
          <w:color w:val="000000" w:themeColor="text1"/>
        </w:rPr>
        <w:t xml:space="preserve">Handys </w:t>
      </w:r>
      <w:r w:rsidR="00937F4F" w:rsidRPr="00937F4F">
        <w:rPr>
          <w:rFonts w:ascii="Arial" w:hAnsi="Arial" w:cs="Arial"/>
          <w:color w:val="000000" w:themeColor="text1"/>
        </w:rPr>
        <w:t>sind</w:t>
      </w:r>
      <w:r w:rsidRPr="00937F4F">
        <w:rPr>
          <w:rFonts w:ascii="Arial" w:hAnsi="Arial" w:cs="Arial"/>
          <w:color w:val="000000" w:themeColor="text1"/>
        </w:rPr>
        <w:t xml:space="preserve"> während der Sitzung nach Möglichkeit auf lautlos gestellt werden.    </w:t>
      </w:r>
    </w:p>
    <w:p w14:paraId="4FFE751F" w14:textId="77777777" w:rsidR="004569B3" w:rsidRPr="004569B3" w:rsidRDefault="004569B3" w:rsidP="004569B3">
      <w:pPr>
        <w:pStyle w:val="Listenabsatz"/>
        <w:ind w:left="370" w:right="0" w:firstLine="0"/>
        <w:rPr>
          <w:rFonts w:ascii="Arial" w:hAnsi="Arial" w:cs="Arial"/>
          <w:strike/>
          <w:color w:val="000000" w:themeColor="text1"/>
        </w:rPr>
      </w:pPr>
    </w:p>
    <w:p w14:paraId="2B6C2DA2" w14:textId="2A2B8E65" w:rsidR="00545C0A" w:rsidRPr="004569B3" w:rsidRDefault="008C59F2" w:rsidP="004E6528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>Bei einer</w:t>
      </w:r>
      <w:r w:rsidR="00937F4F">
        <w:rPr>
          <w:rFonts w:ascii="Arial" w:hAnsi="Arial" w:cs="Arial"/>
          <w:color w:val="000000" w:themeColor="text1"/>
        </w:rPr>
        <w:t xml:space="preserve"> Online-Teilnahme an der</w:t>
      </w:r>
      <w:r w:rsidRPr="004569B3">
        <w:rPr>
          <w:rFonts w:ascii="Arial" w:hAnsi="Arial" w:cs="Arial"/>
          <w:color w:val="000000" w:themeColor="text1"/>
        </w:rPr>
        <w:t xml:space="preserve"> Sitzung sind die Teilnehm</w:t>
      </w:r>
      <w:r w:rsidR="00937F4F">
        <w:rPr>
          <w:rFonts w:ascii="Arial" w:hAnsi="Arial" w:cs="Arial"/>
          <w:color w:val="000000" w:themeColor="text1"/>
        </w:rPr>
        <w:t>enden</w:t>
      </w:r>
      <w:r w:rsidRPr="004569B3">
        <w:rPr>
          <w:rFonts w:ascii="Arial" w:hAnsi="Arial" w:cs="Arial"/>
          <w:color w:val="000000" w:themeColor="text1"/>
        </w:rPr>
        <w:t xml:space="preserve"> angehalten ihre Kameras </w:t>
      </w:r>
      <w:r w:rsidR="004569B3" w:rsidRPr="004569B3">
        <w:rPr>
          <w:rFonts w:ascii="Arial" w:hAnsi="Arial" w:cs="Arial"/>
          <w:color w:val="000000" w:themeColor="text1"/>
        </w:rPr>
        <w:t>einzuschalten,</w:t>
      </w:r>
      <w:r w:rsidR="003158C5" w:rsidRPr="004569B3">
        <w:rPr>
          <w:rFonts w:ascii="Arial" w:hAnsi="Arial" w:cs="Arial"/>
          <w:color w:val="000000" w:themeColor="text1"/>
        </w:rPr>
        <w:t xml:space="preserve"> wenn sie Redebeiträge leisten.</w:t>
      </w:r>
    </w:p>
    <w:p w14:paraId="210CAF7C" w14:textId="77777777" w:rsidR="004E6528" w:rsidRPr="004569B3" w:rsidRDefault="004E6528" w:rsidP="004E6528">
      <w:pPr>
        <w:pStyle w:val="Listenabsatz"/>
        <w:ind w:left="370" w:right="0" w:firstLine="0"/>
        <w:rPr>
          <w:rFonts w:ascii="Arial" w:hAnsi="Arial" w:cs="Arial"/>
          <w:color w:val="000000" w:themeColor="text1"/>
        </w:rPr>
      </w:pPr>
    </w:p>
    <w:p w14:paraId="701F7139" w14:textId="74D3712B" w:rsidR="00545C0A" w:rsidRPr="004569B3" w:rsidRDefault="006C4360" w:rsidP="004E6528">
      <w:pPr>
        <w:pStyle w:val="Listenabsatz"/>
        <w:numPr>
          <w:ilvl w:val="0"/>
          <w:numId w:val="2"/>
        </w:numPr>
        <w:ind w:right="0"/>
        <w:rPr>
          <w:rFonts w:ascii="Arial" w:hAnsi="Arial" w:cs="Arial"/>
          <w:color w:val="000000" w:themeColor="text1"/>
        </w:rPr>
      </w:pPr>
      <w:r w:rsidRPr="004C5167">
        <w:rPr>
          <w:rFonts w:ascii="Arial" w:hAnsi="Arial" w:cs="Arial"/>
          <w:color w:val="000000" w:themeColor="text1"/>
        </w:rPr>
        <w:t xml:space="preserve">Von jeder </w:t>
      </w:r>
      <w:r w:rsidR="008C59F2" w:rsidRPr="004C5167">
        <w:rPr>
          <w:rFonts w:ascii="Arial" w:hAnsi="Arial" w:cs="Arial"/>
          <w:color w:val="000000" w:themeColor="text1"/>
        </w:rPr>
        <w:t xml:space="preserve">Sitzung </w:t>
      </w:r>
      <w:r w:rsidRPr="004C5167">
        <w:rPr>
          <w:rFonts w:ascii="Arial" w:hAnsi="Arial" w:cs="Arial"/>
          <w:color w:val="000000" w:themeColor="text1"/>
        </w:rPr>
        <w:t>ist eine Niederschrift anzufertigen. Die Protokollführung obliegt</w:t>
      </w:r>
      <w:r w:rsidR="008C59F2" w:rsidRPr="004C5167">
        <w:rPr>
          <w:rFonts w:ascii="Arial" w:hAnsi="Arial" w:cs="Arial"/>
          <w:color w:val="000000" w:themeColor="text1"/>
        </w:rPr>
        <w:t xml:space="preserve"> </w:t>
      </w:r>
      <w:r w:rsidR="004C5167" w:rsidRPr="004C5167">
        <w:rPr>
          <w:rFonts w:ascii="Arial" w:hAnsi="Arial" w:cs="Arial"/>
          <w:color w:val="000000" w:themeColor="text1"/>
        </w:rPr>
        <w:t>dem Ausschussmitglied, bei dem die letzte Sitzung stattfand</w:t>
      </w:r>
      <w:r w:rsidRPr="004C5167">
        <w:rPr>
          <w:rFonts w:ascii="Arial" w:hAnsi="Arial" w:cs="Arial"/>
          <w:color w:val="000000" w:themeColor="text1"/>
        </w:rPr>
        <w:t>.</w:t>
      </w:r>
      <w:r w:rsidRPr="004569B3">
        <w:rPr>
          <w:rFonts w:ascii="Arial" w:hAnsi="Arial" w:cs="Arial"/>
          <w:color w:val="000000" w:themeColor="text1"/>
        </w:rPr>
        <w:t xml:space="preserve"> Das Protokoll muss mindestens den Wortlaut</w:t>
      </w:r>
      <w:r w:rsidR="008C59F2" w:rsidRPr="004569B3">
        <w:rPr>
          <w:rFonts w:ascii="Arial" w:hAnsi="Arial" w:cs="Arial"/>
          <w:color w:val="000000" w:themeColor="text1"/>
        </w:rPr>
        <w:t xml:space="preserve"> </w:t>
      </w:r>
      <w:r w:rsidRPr="004569B3">
        <w:rPr>
          <w:rFonts w:ascii="Arial" w:hAnsi="Arial" w:cs="Arial"/>
          <w:color w:val="000000" w:themeColor="text1"/>
        </w:rPr>
        <w:t xml:space="preserve">der Beschlussanträge und das jeweilige Abstimmungsergebnis enthalten. </w:t>
      </w:r>
      <w:r w:rsidR="00937F4F">
        <w:rPr>
          <w:rFonts w:ascii="Arial" w:hAnsi="Arial" w:cs="Arial"/>
          <w:color w:val="000000" w:themeColor="text1"/>
        </w:rPr>
        <w:t>Das Protokoll</w:t>
      </w:r>
      <w:r w:rsidR="008C59F2" w:rsidRPr="004569B3">
        <w:rPr>
          <w:rFonts w:ascii="Arial" w:hAnsi="Arial" w:cs="Arial"/>
          <w:color w:val="000000" w:themeColor="text1"/>
        </w:rPr>
        <w:t xml:space="preserve"> </w:t>
      </w:r>
      <w:r w:rsidRPr="004569B3">
        <w:rPr>
          <w:rFonts w:ascii="Arial" w:hAnsi="Arial" w:cs="Arial"/>
          <w:color w:val="000000" w:themeColor="text1"/>
        </w:rPr>
        <w:t xml:space="preserve">soll </w:t>
      </w:r>
      <w:r w:rsidR="00937F4F">
        <w:rPr>
          <w:rFonts w:ascii="Arial" w:hAnsi="Arial" w:cs="Arial"/>
          <w:color w:val="000000" w:themeColor="text1"/>
        </w:rPr>
        <w:t>die</w:t>
      </w:r>
      <w:r w:rsidRPr="004569B3">
        <w:rPr>
          <w:rFonts w:ascii="Arial" w:hAnsi="Arial" w:cs="Arial"/>
          <w:color w:val="000000" w:themeColor="text1"/>
        </w:rPr>
        <w:t xml:space="preserve"> Diskussionen</w:t>
      </w:r>
      <w:r w:rsidR="008C59F2" w:rsidRPr="004569B3">
        <w:rPr>
          <w:rFonts w:ascii="Arial" w:hAnsi="Arial" w:cs="Arial"/>
          <w:color w:val="000000" w:themeColor="text1"/>
        </w:rPr>
        <w:t xml:space="preserve"> </w:t>
      </w:r>
      <w:r w:rsidRPr="004569B3">
        <w:rPr>
          <w:rFonts w:ascii="Arial" w:hAnsi="Arial" w:cs="Arial"/>
          <w:color w:val="000000" w:themeColor="text1"/>
        </w:rPr>
        <w:t xml:space="preserve">und Berichte </w:t>
      </w:r>
      <w:r w:rsidR="004569B3" w:rsidRPr="004569B3">
        <w:rPr>
          <w:rFonts w:ascii="Arial" w:hAnsi="Arial" w:cs="Arial"/>
          <w:color w:val="000000" w:themeColor="text1"/>
        </w:rPr>
        <w:t>zusammenfassen</w:t>
      </w:r>
      <w:r w:rsidR="00937F4F">
        <w:rPr>
          <w:rFonts w:ascii="Arial" w:hAnsi="Arial" w:cs="Arial"/>
          <w:color w:val="000000" w:themeColor="text1"/>
        </w:rPr>
        <w:t>.</w:t>
      </w:r>
      <w:r w:rsidRPr="004569B3">
        <w:rPr>
          <w:rFonts w:ascii="Arial" w:hAnsi="Arial" w:cs="Arial"/>
          <w:color w:val="000000" w:themeColor="text1"/>
        </w:rPr>
        <w:t xml:space="preserve"> Das Protokoll soll möglichst 2 Wochen nach der Sitzung vorliegen</w:t>
      </w:r>
      <w:r w:rsidR="008C59F2" w:rsidRPr="004569B3">
        <w:rPr>
          <w:rFonts w:ascii="Arial" w:hAnsi="Arial" w:cs="Arial"/>
          <w:color w:val="000000" w:themeColor="text1"/>
        </w:rPr>
        <w:t xml:space="preserve"> und in der darauffolgenden Sitzung genehmigt werden</w:t>
      </w:r>
      <w:r w:rsidRPr="004569B3">
        <w:rPr>
          <w:rFonts w:ascii="Arial" w:hAnsi="Arial" w:cs="Arial"/>
          <w:color w:val="000000" w:themeColor="text1"/>
        </w:rPr>
        <w:t xml:space="preserve">. </w:t>
      </w:r>
    </w:p>
    <w:p w14:paraId="2E5D0847" w14:textId="2D89D375" w:rsidR="00545C0A" w:rsidRPr="004569B3" w:rsidRDefault="006C4360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 xml:space="preserve"> </w:t>
      </w:r>
    </w:p>
    <w:p w14:paraId="1B81F710" w14:textId="023EB21B" w:rsidR="004E6528" w:rsidRPr="004569B3" w:rsidRDefault="004E6528" w:rsidP="004E6528">
      <w:pPr>
        <w:spacing w:after="0" w:line="259" w:lineRule="auto"/>
        <w:ind w:left="0" w:right="0" w:firstLine="0"/>
        <w:jc w:val="both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t>Wahl des Sprecherkreises:</w:t>
      </w:r>
    </w:p>
    <w:p w14:paraId="36E0C8AA" w14:textId="222AE460" w:rsidR="004E6528" w:rsidRPr="004569B3" w:rsidRDefault="004E6528" w:rsidP="004E6528">
      <w:pPr>
        <w:jc w:val="both"/>
        <w:rPr>
          <w:rFonts w:ascii="Arial" w:hAnsi="Arial" w:cs="Arial"/>
          <w:color w:val="000000" w:themeColor="text1"/>
        </w:rPr>
      </w:pPr>
      <w:r w:rsidRPr="004569B3">
        <w:rPr>
          <w:rFonts w:ascii="Arial" w:hAnsi="Arial" w:cs="Arial"/>
          <w:color w:val="000000" w:themeColor="text1"/>
        </w:rPr>
        <w:lastRenderedPageBreak/>
        <w:t>Der Sprecherkreis wird alle vier Jahre</w:t>
      </w:r>
      <w:r w:rsidR="00937F4F">
        <w:rPr>
          <w:rFonts w:ascii="Arial" w:hAnsi="Arial" w:cs="Arial"/>
          <w:color w:val="000000" w:themeColor="text1"/>
        </w:rPr>
        <w:t>,</w:t>
      </w:r>
      <w:r w:rsidRPr="004569B3">
        <w:rPr>
          <w:rFonts w:ascii="Arial" w:hAnsi="Arial" w:cs="Arial"/>
          <w:color w:val="000000" w:themeColor="text1"/>
        </w:rPr>
        <w:t xml:space="preserve"> </w:t>
      </w:r>
      <w:r w:rsidR="00937F4F" w:rsidRPr="004569B3">
        <w:rPr>
          <w:rFonts w:ascii="Arial" w:hAnsi="Arial" w:cs="Arial"/>
          <w:color w:val="000000" w:themeColor="text1"/>
        </w:rPr>
        <w:t xml:space="preserve">in der Herbstsitzung </w:t>
      </w:r>
      <w:r w:rsidRPr="004569B3">
        <w:rPr>
          <w:rFonts w:ascii="Arial" w:hAnsi="Arial" w:cs="Arial"/>
          <w:color w:val="000000" w:themeColor="text1"/>
        </w:rPr>
        <w:t>nach den Betriebsratswahlen</w:t>
      </w:r>
      <w:r w:rsidR="00937F4F">
        <w:rPr>
          <w:rFonts w:ascii="Arial" w:hAnsi="Arial" w:cs="Arial"/>
          <w:color w:val="000000" w:themeColor="text1"/>
        </w:rPr>
        <w:t>,</w:t>
      </w:r>
      <w:r w:rsidRPr="004569B3">
        <w:rPr>
          <w:rFonts w:ascii="Arial" w:hAnsi="Arial" w:cs="Arial"/>
          <w:color w:val="000000" w:themeColor="text1"/>
        </w:rPr>
        <w:t xml:space="preserve"> neu gewählt. Er sollte mindestens aus drei </w:t>
      </w:r>
      <w:r w:rsidR="00937F4F">
        <w:rPr>
          <w:rFonts w:ascii="Arial" w:hAnsi="Arial" w:cs="Arial"/>
          <w:color w:val="000000" w:themeColor="text1"/>
        </w:rPr>
        <w:t>Personen</w:t>
      </w:r>
      <w:r w:rsidRPr="004569B3">
        <w:rPr>
          <w:rFonts w:ascii="Arial" w:hAnsi="Arial" w:cs="Arial"/>
          <w:color w:val="000000" w:themeColor="text1"/>
        </w:rPr>
        <w:t xml:space="preserve"> bestehen.</w:t>
      </w:r>
    </w:p>
    <w:p w14:paraId="3A435CD9" w14:textId="77777777" w:rsidR="004E6528" w:rsidRPr="004569B3" w:rsidRDefault="004E6528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</w:rPr>
      </w:pPr>
    </w:p>
    <w:p w14:paraId="0D0F57A8" w14:textId="54E3BE65" w:rsidR="009D5129" w:rsidRDefault="00937F4F">
      <w:pPr>
        <w:ind w:left="-5" w:righ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Hamburg,</w:t>
      </w:r>
      <w:r w:rsidR="004C51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November 2025</w:t>
      </w:r>
    </w:p>
    <w:p w14:paraId="3AABF8D8" w14:textId="77777777" w:rsidR="004C5167" w:rsidRDefault="004C5167">
      <w:pPr>
        <w:ind w:left="-5" w:right="0"/>
        <w:rPr>
          <w:rFonts w:ascii="Arial" w:hAnsi="Arial" w:cs="Arial"/>
          <w:color w:val="000000" w:themeColor="text1"/>
        </w:rPr>
      </w:pPr>
    </w:p>
    <w:p w14:paraId="0E0B3CC4" w14:textId="6026DE4D" w:rsidR="004569B3" w:rsidRDefault="004569B3">
      <w:pPr>
        <w:ind w:left="-5" w:right="0"/>
        <w:rPr>
          <w:rFonts w:ascii="Arial" w:hAnsi="Arial" w:cs="Arial"/>
          <w:color w:val="000000" w:themeColor="text1"/>
        </w:rPr>
      </w:pPr>
    </w:p>
    <w:p w14:paraId="4E2B2B87" w14:textId="6931C809" w:rsidR="004569B3" w:rsidRDefault="004569B3">
      <w:pPr>
        <w:ind w:left="-5" w:right="0"/>
        <w:rPr>
          <w:rFonts w:ascii="Arial" w:hAnsi="Arial" w:cs="Arial"/>
          <w:color w:val="000000" w:themeColor="text1"/>
        </w:rPr>
      </w:pPr>
    </w:p>
    <w:p w14:paraId="3F9D9608" w14:textId="4B4EC73C" w:rsidR="006C4360" w:rsidRPr="006C4360" w:rsidRDefault="006C4360" w:rsidP="006C4360">
      <w:pPr>
        <w:pStyle w:val="Listenabsatz"/>
        <w:ind w:left="345" w:right="0" w:firstLine="0"/>
        <w:rPr>
          <w:rFonts w:ascii="Arial" w:hAnsi="Arial" w:cs="Arial"/>
          <w:b/>
          <w:color w:val="FF0000"/>
        </w:rPr>
      </w:pPr>
    </w:p>
    <w:sectPr w:rsidR="006C4360" w:rsidRPr="006C4360">
      <w:pgSz w:w="11900" w:h="16840"/>
      <w:pgMar w:top="1472" w:right="1506" w:bottom="121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FE9"/>
    <w:multiLevelType w:val="hybridMultilevel"/>
    <w:tmpl w:val="9DF40A3C"/>
    <w:lvl w:ilvl="0" w:tplc="E6DE519E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27AF2326"/>
    <w:multiLevelType w:val="hybridMultilevel"/>
    <w:tmpl w:val="58AAE852"/>
    <w:lvl w:ilvl="0" w:tplc="29A60C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67074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CF6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60F42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28E8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2DC48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0F082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EF60E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6D20E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930D3"/>
    <w:multiLevelType w:val="hybridMultilevel"/>
    <w:tmpl w:val="E3A860FA"/>
    <w:lvl w:ilvl="0" w:tplc="D15432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0A"/>
    <w:rsid w:val="002F0A09"/>
    <w:rsid w:val="003158C5"/>
    <w:rsid w:val="003F1B71"/>
    <w:rsid w:val="004569B3"/>
    <w:rsid w:val="004C3B29"/>
    <w:rsid w:val="004C5167"/>
    <w:rsid w:val="004E6528"/>
    <w:rsid w:val="005355D9"/>
    <w:rsid w:val="00545C0A"/>
    <w:rsid w:val="006032AA"/>
    <w:rsid w:val="006C4360"/>
    <w:rsid w:val="006D2A0A"/>
    <w:rsid w:val="008C59F2"/>
    <w:rsid w:val="00937F4F"/>
    <w:rsid w:val="009D5129"/>
    <w:rsid w:val="00B21D06"/>
    <w:rsid w:val="00BF7118"/>
    <w:rsid w:val="00D3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9DD3"/>
  <w15:docId w15:val="{655799AB-72AE-B746-9D42-3ED86014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" w:line="249" w:lineRule="auto"/>
      <w:ind w:left="10" w:right="72" w:hanging="10"/>
    </w:pPr>
    <w:rPr>
      <w:rFonts w:ascii="Times New Roman" w:eastAsia="Times New Roman" w:hAnsi="Times New Roman" w:cs="Times New Roman"/>
      <w:color w:val="000000"/>
      <w:lang w:val="de" w:eastAsia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1B7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32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32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32AA"/>
    <w:rPr>
      <w:rFonts w:ascii="Times New Roman" w:eastAsia="Times New Roman" w:hAnsi="Times New Roman" w:cs="Times New Roman"/>
      <w:color w:val="000000"/>
      <w:sz w:val="20"/>
      <w:szCs w:val="20"/>
      <w:lang w:val="de" w:eastAsia="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32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32AA"/>
    <w:rPr>
      <w:rFonts w:ascii="Times New Roman" w:eastAsia="Times New Roman" w:hAnsi="Times New Roman" w:cs="Times New Roman"/>
      <w:b/>
      <w:bCs/>
      <w:color w:val="000000"/>
      <w:sz w:val="20"/>
      <w:szCs w:val="20"/>
      <w:lang w:val="de" w:eastAsia="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Arbeitsweise AGBRVergütungundPersonal.doc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Arbeitsweise AGBRVergütungundPersonal.doc</dc:title>
  <dc:subject/>
  <dc:creator>Telefon</dc:creator>
  <cp:keywords/>
  <cp:lastModifiedBy>Andrea Vieth-Hillebrand</cp:lastModifiedBy>
  <cp:revision>3</cp:revision>
  <dcterms:created xsi:type="dcterms:W3CDTF">2025-11-05T13:53:00Z</dcterms:created>
  <dcterms:modified xsi:type="dcterms:W3CDTF">2025-11-05T14:09:00Z</dcterms:modified>
</cp:coreProperties>
</file>