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187"/>
        <w:gridCol w:w="2056"/>
        <w:gridCol w:w="1077"/>
        <w:gridCol w:w="363"/>
        <w:gridCol w:w="1437"/>
        <w:gridCol w:w="723"/>
      </w:tblGrid>
      <w:tr w:rsidR="00AD7B78" w:rsidRPr="00D14B6A" w:rsidTr="00BC086C">
        <w:tc>
          <w:tcPr>
            <w:tcW w:w="2448" w:type="dxa"/>
            <w:gridSpan w:val="2"/>
            <w:shd w:val="clear" w:color="auto" w:fill="auto"/>
          </w:tcPr>
          <w:p w:rsidR="00AD7B78" w:rsidRPr="00D14B6A" w:rsidRDefault="00AD7B78" w:rsidP="00BC08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 of Meeting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:rsidR="00192BFF" w:rsidRPr="00D14B6A" w:rsidRDefault="00192BFF" w:rsidP="00E9128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XFEL Working Group</w:t>
            </w:r>
            <w:r w:rsidR="00E9128B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LINAC operations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AD7B78" w:rsidRPr="00D14B6A" w:rsidRDefault="003C270B" w:rsidP="00BC08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D14B6A" w:rsidRDefault="00F432D2" w:rsidP="00BC086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AD7B78"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D14B6A" w:rsidRDefault="00D22F20" w:rsidP="00D22F2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</w:t>
            </w:r>
            <w:r w:rsidR="009F3DEB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01</w:t>
            </w:r>
            <w:r w:rsidR="00192BFF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.201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  <w:tr w:rsidR="00BC086C" w:rsidRPr="00D14B6A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AD7B78" w:rsidRPr="00D14B6A" w:rsidRDefault="00AD7B78" w:rsidP="00BC08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AD7B78" w:rsidRPr="00D14B6A" w:rsidRDefault="00AD7B78" w:rsidP="00BC08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AD7B78" w:rsidRPr="00D14B6A" w:rsidRDefault="00AD7B78" w:rsidP="00BC08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D14B6A" w:rsidRDefault="00872165" w:rsidP="00BC086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Location: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D14B6A" w:rsidRDefault="00E9128B" w:rsidP="00BC08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</w:rPr>
              <w:t>362/30b</w:t>
            </w:r>
          </w:p>
        </w:tc>
      </w:tr>
      <w:tr w:rsidR="00BC086C" w:rsidRPr="00D14B6A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872165" w:rsidRPr="00D14B6A" w:rsidRDefault="0087216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872165" w:rsidRPr="00D14B6A" w:rsidRDefault="0087216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872165" w:rsidRPr="00D14B6A" w:rsidRDefault="0087216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72165" w:rsidRPr="00D14B6A" w:rsidRDefault="0087216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72165" w:rsidRPr="00D14B6A" w:rsidRDefault="0087216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E2A79" w:rsidRPr="00D14B6A" w:rsidTr="00BC086C">
        <w:tc>
          <w:tcPr>
            <w:tcW w:w="2448" w:type="dxa"/>
            <w:gridSpan w:val="2"/>
            <w:shd w:val="clear" w:color="auto" w:fill="auto"/>
          </w:tcPr>
          <w:p w:rsidR="00DE2A79" w:rsidRPr="00D14B6A" w:rsidRDefault="00DE2A7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Meeting Chair: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E2A79" w:rsidRPr="00D14B6A" w:rsidRDefault="00834BE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DE2A79" w:rsidRPr="00D14B6A" w:rsidRDefault="00DE2A7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Distribution List:</w:t>
            </w:r>
          </w:p>
        </w:tc>
      </w:tr>
      <w:tr w:rsidR="00834BE9" w:rsidRPr="00D14B6A" w:rsidTr="00BC086C">
        <w:trPr>
          <w:trHeight w:val="550"/>
        </w:trPr>
        <w:tc>
          <w:tcPr>
            <w:tcW w:w="2448" w:type="dxa"/>
            <w:gridSpan w:val="2"/>
            <w:shd w:val="clear" w:color="auto" w:fill="auto"/>
          </w:tcPr>
          <w:p w:rsidR="00834BE9" w:rsidRPr="00D14B6A" w:rsidRDefault="00E9128B" w:rsidP="00E91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</w:rPr>
              <w:t>H. Schlarb</w:t>
            </w:r>
          </w:p>
        </w:tc>
        <w:tc>
          <w:tcPr>
            <w:tcW w:w="3243" w:type="dxa"/>
            <w:gridSpan w:val="2"/>
            <w:vMerge w:val="restart"/>
            <w:shd w:val="clear" w:color="auto" w:fill="auto"/>
          </w:tcPr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 xml:space="preserve">Kay Rehlich, Wolf-Dietrich Moeller, Matthias Clausen, Lutz </w:t>
            </w:r>
          </w:p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>Lilje, Julien Branlard,</w:t>
            </w:r>
          </w:p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 xml:space="preserve">Holger Schlarb, Brunhilde </w:t>
            </w:r>
            <w:proofErr w:type="spellStart"/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>Racky</w:t>
            </w:r>
            <w:proofErr w:type="spellEnd"/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 xml:space="preserve">, Tobias </w:t>
            </w:r>
            <w:proofErr w:type="spellStart"/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>Schnautz</w:t>
            </w:r>
            <w:proofErr w:type="spellEnd"/>
            <w:r w:rsidRPr="00D14B6A">
              <w:rPr>
                <w:rFonts w:asciiTheme="minorHAnsi" w:hAnsiTheme="minorHAnsi" w:cstheme="minorHAnsi"/>
                <w:szCs w:val="22"/>
                <w:lang w:val="de-DE"/>
              </w:rPr>
              <w:t>, Richard Wagner</w:t>
            </w:r>
          </w:p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  <w:lang w:val="de-DE"/>
              </w:rPr>
            </w:pPr>
          </w:p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548" w:rsidRPr="00D14B6A" w:rsidRDefault="00DC2548" w:rsidP="00DC25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4B6A">
              <w:rPr>
                <w:rFonts w:asciiTheme="minorHAnsi" w:hAnsiTheme="minorHAnsi" w:cstheme="minorHAnsi"/>
                <w:sz w:val="22"/>
                <w:szCs w:val="22"/>
              </w:rPr>
              <w:t>Missing</w:t>
            </w:r>
            <w:proofErr w:type="spellEnd"/>
            <w:r w:rsidRPr="00D14B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C0E73" w:rsidRPr="00D14B6A">
              <w:rPr>
                <w:rFonts w:asciiTheme="minorHAnsi" w:hAnsiTheme="minorHAnsi" w:cstheme="minorHAnsi"/>
                <w:sz w:val="22"/>
                <w:szCs w:val="22"/>
              </w:rPr>
              <w:t xml:space="preserve">Jorg </w:t>
            </w:r>
            <w:proofErr w:type="spellStart"/>
            <w:r w:rsidR="003C0E73" w:rsidRPr="00D14B6A">
              <w:rPr>
                <w:rFonts w:asciiTheme="minorHAnsi" w:hAnsiTheme="minorHAnsi" w:cstheme="minorHAnsi"/>
                <w:sz w:val="22"/>
                <w:szCs w:val="22"/>
              </w:rPr>
              <w:t>Eckholdt</w:t>
            </w:r>
            <w:proofErr w:type="spellEnd"/>
          </w:p>
          <w:p w:rsidR="00DC2548" w:rsidRPr="00D14B6A" w:rsidRDefault="00DC25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vMerge w:val="restart"/>
            <w:shd w:val="clear" w:color="auto" w:fill="auto"/>
          </w:tcPr>
          <w:p w:rsidR="00E9128B" w:rsidRPr="00D14B6A" w:rsidRDefault="00E9128B" w:rsidP="00E91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</w:rPr>
              <w:t>Wolf-Dietrich Moeller, Bernd Petersen, Stefan Choroba,</w:t>
            </w:r>
          </w:p>
          <w:p w:rsidR="00834BE9" w:rsidRPr="00D14B6A" w:rsidRDefault="00E9128B" w:rsidP="003C0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</w:rPr>
              <w:t>Holger Schlarb, Lutz Lilje, Kay Rehlich, Brunhilde Racky, Richard Wagner, Hans-Joerg Eckoldt, Markus Huening, Winfried Decking, Torsten Limberg</w:t>
            </w:r>
            <w:r w:rsidR="003C0E73" w:rsidRPr="00D14B6A">
              <w:rPr>
                <w:rFonts w:asciiTheme="minorHAnsi" w:hAnsiTheme="minorHAnsi" w:cstheme="minorHAnsi"/>
                <w:sz w:val="22"/>
                <w:szCs w:val="22"/>
              </w:rPr>
              <w:t xml:space="preserve">, Michael Dressel </w:t>
            </w:r>
          </w:p>
        </w:tc>
      </w:tr>
      <w:tr w:rsidR="00834BE9" w:rsidRPr="00D14B6A" w:rsidTr="00BC086C">
        <w:tc>
          <w:tcPr>
            <w:tcW w:w="2448" w:type="dxa"/>
            <w:gridSpan w:val="2"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Minutes taken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D14B6A" w:rsidTr="00BC086C">
        <w:trPr>
          <w:trHeight w:val="595"/>
        </w:trPr>
        <w:tc>
          <w:tcPr>
            <w:tcW w:w="2448" w:type="dxa"/>
            <w:gridSpan w:val="2"/>
            <w:shd w:val="clear" w:color="auto" w:fill="auto"/>
          </w:tcPr>
          <w:p w:rsidR="00834BE9" w:rsidRPr="00D14B6A" w:rsidRDefault="00E912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H. Schlarb / J. Branlard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D14B6A" w:rsidTr="00BC086C">
        <w:tc>
          <w:tcPr>
            <w:tcW w:w="2448" w:type="dxa"/>
            <w:gridSpan w:val="2"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D14B6A" w:rsidTr="00BC086C">
        <w:trPr>
          <w:trHeight w:val="60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D14B6A" w:rsidTr="00BC086C">
        <w:trPr>
          <w:trHeight w:val="57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D14B6A" w:rsidRDefault="00834BE9" w:rsidP="00E912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Status:  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draft 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     </w:t>
            </w:r>
          </w:p>
        </w:tc>
        <w:tc>
          <w:tcPr>
            <w:tcW w:w="3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C086C" w:rsidRPr="00D14B6A" w:rsidTr="00BC086C">
        <w:trPr>
          <w:trHeight w:val="4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AF58F0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D14B6A" w:rsidRDefault="00834BE9" w:rsidP="00192B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Topic:</w:t>
            </w:r>
          </w:p>
          <w:p w:rsidR="00834BE9" w:rsidRPr="00D14B6A" w:rsidRDefault="00834BE9" w:rsidP="00192B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Pr="00D14B6A" w:rsidRDefault="003C0E73" w:rsidP="003C0E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th</w:t>
            </w:r>
            <w:r w:rsidR="00834BE9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Meeting of working group </w:t>
            </w:r>
            <w:r w:rsidR="00E9128B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XFEL linac operations</w:t>
            </w:r>
            <w:r w:rsidR="006C70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Personnel Interlock System</w:t>
            </w:r>
          </w:p>
        </w:tc>
      </w:tr>
      <w:tr w:rsidR="00834BE9" w:rsidRPr="00AF58F0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AF58F0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34BE9" w:rsidRPr="00D14B6A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Agenda: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128B" w:rsidRPr="00D14B6A" w:rsidRDefault="00E912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Approval of last meeting minutes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="003C0E73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Personnel Interlock System</w:t>
            </w: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presentation</w:t>
            </w:r>
          </w:p>
          <w:p w:rsidR="00834BE9" w:rsidRPr="00D14B6A" w:rsidRDefault="00E912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Discussion</w:t>
            </w:r>
          </w:p>
        </w:tc>
      </w:tr>
      <w:tr w:rsidR="00834BE9" w:rsidRPr="00D14B6A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C086C" w:rsidRPr="00D14B6A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Action Item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Responsible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Ref.</w:t>
            </w:r>
          </w:p>
        </w:tc>
      </w:tr>
      <w:tr w:rsidR="00BC086C" w:rsidRPr="00D14B6A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DC2548" w:rsidP="006C70C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Review of minutes from last meeting</w:t>
            </w:r>
            <w:r w:rsidR="003C0E73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a few corrections have been done, mostly about the </w:t>
            </w:r>
            <w:r w:rsidR="00B123BC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order of </w:t>
            </w:r>
            <w:r w:rsidR="003C0E73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events during installation and commissioning. The updated minutes are on the web.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C086C" w:rsidRPr="00D14B6A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 w:rsidP="00B972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 w:rsidP="00B972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C086C" w:rsidRPr="00D14B6A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D14B6A" w:rsidRDefault="00834B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872165" w:rsidRPr="00D14B6A" w:rsidRDefault="00872165">
      <w:pPr>
        <w:rPr>
          <w:rFonts w:asciiTheme="minorHAnsi" w:hAnsiTheme="minorHAnsi" w:cstheme="minorHAnsi"/>
          <w:sz w:val="22"/>
          <w:szCs w:val="22"/>
          <w:lang w:val="en-US"/>
        </w:rPr>
        <w:sectPr w:rsidR="00872165" w:rsidRPr="00D14B6A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58"/>
        <w:gridCol w:w="1856"/>
        <w:gridCol w:w="7715"/>
        <w:gridCol w:w="1766"/>
        <w:gridCol w:w="1050"/>
        <w:gridCol w:w="1041"/>
      </w:tblGrid>
      <w:tr w:rsidR="00BC086C" w:rsidRPr="00D14B6A" w:rsidTr="00BC086C">
        <w:trPr>
          <w:tblHeader/>
        </w:trPr>
        <w:tc>
          <w:tcPr>
            <w:tcW w:w="212" w:type="pct"/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No</w:t>
            </w:r>
          </w:p>
        </w:tc>
        <w:tc>
          <w:tcPr>
            <w:tcW w:w="158" w:type="pct"/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Keyword</w:t>
            </w:r>
          </w:p>
        </w:tc>
        <w:tc>
          <w:tcPr>
            <w:tcW w:w="2660" w:type="pct"/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609" w:type="pct"/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</w:t>
            </w:r>
          </w:p>
        </w:tc>
        <w:tc>
          <w:tcPr>
            <w:tcW w:w="362" w:type="pct"/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CCCCCC"/>
          </w:tcPr>
          <w:p w:rsidR="005460BB" w:rsidRPr="00D14B6A" w:rsidRDefault="005460B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Status</w:t>
            </w:r>
          </w:p>
        </w:tc>
      </w:tr>
      <w:tr w:rsidR="00BC086C" w:rsidRPr="00D14B6A" w:rsidTr="00BC086C">
        <w:tc>
          <w:tcPr>
            <w:tcW w:w="212" w:type="pct"/>
            <w:shd w:val="clear" w:color="auto" w:fill="auto"/>
            <w:vAlign w:val="center"/>
          </w:tcPr>
          <w:p w:rsidR="005460BB" w:rsidRPr="00D14B6A" w:rsidRDefault="00B97250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5460BB" w:rsidRPr="00D14B6A" w:rsidRDefault="005460BB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60BB" w:rsidRPr="00D14B6A" w:rsidRDefault="003C0E73" w:rsidP="00D14B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Personnel Interlock </w:t>
            </w:r>
          </w:p>
        </w:tc>
        <w:tc>
          <w:tcPr>
            <w:tcW w:w="2660" w:type="pct"/>
            <w:shd w:val="clear" w:color="auto" w:fill="auto"/>
          </w:tcPr>
          <w:p w:rsidR="00834BE9" w:rsidRPr="00D14B6A" w:rsidRDefault="00B97250" w:rsidP="00D14B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Presentation </w:t>
            </w:r>
            <w:r w:rsid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</w:t>
            </w:r>
            <w:r w:rsidR="003C0E73"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Personnel Interlock System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60BB" w:rsidRPr="00D14B6A" w:rsidRDefault="003C0E73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</w:rPr>
              <w:t>Brunhilde Racky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60BB" w:rsidRPr="00D14B6A" w:rsidRDefault="005460BB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5460BB" w:rsidRPr="00D14B6A" w:rsidRDefault="005460BB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33CFF" w:rsidRPr="00AF58F0" w:rsidTr="00BC086C">
        <w:tc>
          <w:tcPr>
            <w:tcW w:w="212" w:type="pct"/>
            <w:shd w:val="clear" w:color="auto" w:fill="auto"/>
            <w:vAlign w:val="center"/>
          </w:tcPr>
          <w:p w:rsidR="00633CFF" w:rsidRPr="00D14B6A" w:rsidRDefault="00633CFF" w:rsidP="009445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D14B6A" w:rsidRDefault="004C0905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D14B6A" w:rsidRDefault="00B200AF" w:rsidP="00B200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MPS and RF </w:t>
            </w:r>
          </w:p>
        </w:tc>
        <w:tc>
          <w:tcPr>
            <w:tcW w:w="2660" w:type="pct"/>
            <w:shd w:val="clear" w:color="auto" w:fill="auto"/>
          </w:tcPr>
          <w:p w:rsidR="003C0E73" w:rsidRDefault="00B123BC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>t</w:t>
            </w:r>
            <w:r w:rsidRPr="00D14B6A">
              <w:rPr>
                <w:rFonts w:asciiTheme="minorHAnsi" w:hAnsiTheme="minorHAnsi" w:cstheme="minorHAnsi"/>
                <w:szCs w:val="22"/>
              </w:rPr>
              <w:t>he h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ardware of  personnel interlock system is installed in XHM</w:t>
            </w:r>
          </w:p>
          <w:p w:rsidR="00B30FC8" w:rsidRPr="00D14B6A" w:rsidRDefault="00B30FC8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there is a single operation permission for each klystron</w:t>
            </w:r>
          </w:p>
          <w:p w:rsidR="00164C1C" w:rsidRPr="00D14B6A" w:rsidRDefault="00164C1C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the HV modulators are switched off in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case of dangerous operation</w:t>
            </w:r>
            <w:r w:rsidRPr="00D14B6A">
              <w:rPr>
                <w:rFonts w:asciiTheme="minorHAnsi" w:hAnsiTheme="minorHAnsi" w:cstheme="minorHAnsi"/>
                <w:szCs w:val="22"/>
              </w:rPr>
              <w:t>s</w:t>
            </w:r>
          </w:p>
          <w:p w:rsidR="00B30FC8" w:rsidRDefault="00164C1C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proofErr w:type="gramStart"/>
            <w:r w:rsidRPr="00D14B6A">
              <w:rPr>
                <w:rFonts w:asciiTheme="minorHAnsi" w:hAnsiTheme="minorHAnsi" w:cstheme="minorHAnsi"/>
                <w:szCs w:val="22"/>
              </w:rPr>
              <w:t>t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wo</w:t>
            </w:r>
            <w:proofErr w:type="gramEnd"/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 waveguide switches are used to guide the RF power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to the cryomodule or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to the </w:t>
            </w:r>
            <w:r w:rsidR="00B30FC8">
              <w:rPr>
                <w:rFonts w:asciiTheme="minorHAnsi" w:hAnsiTheme="minorHAnsi" w:cstheme="minorHAnsi"/>
                <w:szCs w:val="22"/>
              </w:rPr>
              <w:t xml:space="preserve">(movable)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absorbers for klystron commissioning</w:t>
            </w:r>
            <w:r w:rsidR="00B30FC8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:rsidR="00B30FC8" w:rsidRDefault="00B30FC8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25 klystrons x  2 arms x 2 contacts = 100 pairs </w:t>
            </w:r>
            <w:r w:rsidR="00AF24FC">
              <w:rPr>
                <w:rFonts w:asciiTheme="minorHAnsi" w:hAnsiTheme="minorHAnsi" w:cstheme="minorHAnsi"/>
                <w:szCs w:val="22"/>
              </w:rPr>
              <w:t xml:space="preserve">for all </w:t>
            </w:r>
            <w:r>
              <w:rPr>
                <w:rFonts w:asciiTheme="minorHAnsi" w:hAnsiTheme="minorHAnsi" w:cstheme="minorHAnsi"/>
                <w:szCs w:val="22"/>
              </w:rPr>
              <w:t>RF station</w:t>
            </w:r>
            <w:r w:rsidR="00AF24FC">
              <w:rPr>
                <w:rFonts w:asciiTheme="minorHAnsi" w:hAnsiTheme="minorHAnsi" w:cstheme="minorHAnsi"/>
                <w:szCs w:val="22"/>
              </w:rPr>
              <w:t>s</w:t>
            </w:r>
          </w:p>
          <w:p w:rsidR="003C0E73" w:rsidRPr="00D14B6A" w:rsidRDefault="00164C1C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MPS sur</w:t>
            </w:r>
            <w:r w:rsidRPr="00D14B6A">
              <w:rPr>
                <w:rFonts w:asciiTheme="minorHAnsi" w:hAnsiTheme="minorHAnsi" w:cstheme="minorHAnsi"/>
                <w:szCs w:val="22"/>
              </w:rPr>
              <w:t>veys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status of the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cryomodule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>s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status of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RF filter</w:t>
            </w:r>
            <w:r w:rsidRPr="00D14B6A">
              <w:rPr>
                <w:rFonts w:asciiTheme="minorHAnsi" w:hAnsiTheme="minorHAnsi" w:cstheme="minorHAnsi"/>
                <w:szCs w:val="22"/>
              </w:rPr>
              <w:t>. Thre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e states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 are considered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:</w:t>
            </w:r>
          </w:p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    1)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tunnel 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Pr="00D14B6A">
              <w:rPr>
                <w:rFonts w:asciiTheme="minorHAnsi" w:hAnsiTheme="minorHAnsi" w:cstheme="minorHAnsi"/>
                <w:szCs w:val="22"/>
              </w:rPr>
              <w:t>open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RF 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 xml:space="preserve">goes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D14B6A">
              <w:rPr>
                <w:rFonts w:asciiTheme="minorHAnsi" w:hAnsiTheme="minorHAnsi" w:cstheme="minorHAnsi"/>
                <w:szCs w:val="22"/>
              </w:rPr>
              <w:t>load</w:t>
            </w:r>
          </w:p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    2)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tunnel 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Pr="00D14B6A">
              <w:rPr>
                <w:rFonts w:asciiTheme="minorHAnsi" w:hAnsiTheme="minorHAnsi" w:cstheme="minorHAnsi"/>
                <w:szCs w:val="22"/>
              </w:rPr>
              <w:t>open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RF </w:t>
            </w:r>
            <w:r w:rsidR="00164C1C" w:rsidRPr="00D14B6A">
              <w:rPr>
                <w:rFonts w:asciiTheme="minorHAnsi" w:hAnsiTheme="minorHAnsi" w:cstheme="minorHAnsi"/>
                <w:szCs w:val="22"/>
              </w:rPr>
              <w:t xml:space="preserve">goes </w:t>
            </w:r>
            <w:r w:rsidRPr="00D14B6A">
              <w:rPr>
                <w:rFonts w:asciiTheme="minorHAnsi" w:hAnsiTheme="minorHAnsi" w:cstheme="minorHAnsi"/>
                <w:szCs w:val="22"/>
              </w:rPr>
              <w:t>to warm modules</w:t>
            </w:r>
          </w:p>
          <w:p w:rsidR="003C0E73" w:rsidRPr="00D14B6A" w:rsidRDefault="003C0E73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    3)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tunnel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Pr="00D14B6A">
              <w:rPr>
                <w:rFonts w:asciiTheme="minorHAnsi" w:hAnsiTheme="minorHAnsi" w:cstheme="minorHAnsi"/>
                <w:szCs w:val="22"/>
              </w:rPr>
              <w:t>close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d and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RF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goes </w:t>
            </w:r>
            <w:r w:rsidRPr="00D14B6A">
              <w:rPr>
                <w:rFonts w:asciiTheme="minorHAnsi" w:hAnsiTheme="minorHAnsi" w:cstheme="minorHAnsi"/>
                <w:szCs w:val="22"/>
              </w:rPr>
              <w:t>to cold modules</w:t>
            </w:r>
          </w:p>
          <w:p w:rsidR="003C0E73" w:rsidRPr="00D14B6A" w:rsidRDefault="00B200AF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>-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 Switching of the modulator is realized by two independent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 contacts </w:t>
            </w:r>
            <w:r w:rsidR="00AF24FC">
              <w:rPr>
                <w:rFonts w:asciiTheme="minorHAnsi" w:hAnsiTheme="minorHAnsi" w:cstheme="minorHAnsi"/>
                <w:szCs w:val="22"/>
              </w:rPr>
              <w:t xml:space="preserve">on mains </w:t>
            </w:r>
            <w:r w:rsidRPr="00D14B6A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D14B6A">
              <w:rPr>
                <w:rFonts w:asciiTheme="minorHAnsi" w:hAnsiTheme="minorHAnsi" w:cstheme="minorHAnsi"/>
                <w:szCs w:val="22"/>
              </w:rPr>
              <w:t>NetzSchuetze</w:t>
            </w:r>
            <w:proofErr w:type="spellEnd"/>
            <w:r w:rsidRPr="00D14B6A">
              <w:rPr>
                <w:rFonts w:asciiTheme="minorHAnsi" w:hAnsiTheme="minorHAnsi" w:cstheme="minorHAnsi"/>
                <w:szCs w:val="22"/>
              </w:rPr>
              <w:t>)</w:t>
            </w:r>
          </w:p>
          <w:p w:rsidR="00B200AF" w:rsidRPr="00D14B6A" w:rsidRDefault="00B200AF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The status of the RF switch (included or bypassed) is sent to MPS. </w:t>
            </w:r>
            <w:r w:rsidR="00B30FC8">
              <w:rPr>
                <w:rFonts w:asciiTheme="minorHAnsi" w:hAnsiTheme="minorHAnsi" w:cstheme="minorHAnsi"/>
                <w:szCs w:val="22"/>
              </w:rPr>
              <w:t>These LLRF filters should be available and installed as soon as warm operations start.</w:t>
            </w:r>
          </w:p>
          <w:p w:rsidR="00633CFF" w:rsidRDefault="00B200AF" w:rsidP="00D14B6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>MPS only c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hecks 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that no </w:t>
            </w:r>
            <w:r w:rsidRPr="00D14B6A">
              <w:rPr>
                <w:rFonts w:asciiTheme="minorHAnsi" w:hAnsiTheme="minorHAnsi" w:cstheme="minorHAnsi"/>
                <w:szCs w:val="22"/>
              </w:rPr>
              <w:t>ionizing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 radiation can be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produced due to RF </w:t>
            </w:r>
            <w:r w:rsidR="00D14B6A" w:rsidRPr="00D14B6A">
              <w:rPr>
                <w:rFonts w:asciiTheme="minorHAnsi" w:hAnsiTheme="minorHAnsi" w:cstheme="minorHAnsi"/>
                <w:szCs w:val="22"/>
              </w:rPr>
              <w:t>power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 and controls if the RF power is switched to the absorber.</w:t>
            </w:r>
            <w:r w:rsidR="003C0E73" w:rsidRPr="00D14B6A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:rsidR="00861848" w:rsidRPr="00D14B6A" w:rsidRDefault="00861848" w:rsidP="00D14B6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D14B6A" w:rsidRDefault="00633CFF" w:rsidP="00633C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D14B6A" w:rsidRDefault="00633CFF" w:rsidP="00633C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D14B6A" w:rsidRDefault="00633CF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33CFF" w:rsidRPr="00D14B6A" w:rsidTr="00BC086C">
        <w:tc>
          <w:tcPr>
            <w:tcW w:w="212" w:type="pct"/>
            <w:shd w:val="clear" w:color="auto" w:fill="auto"/>
            <w:vAlign w:val="center"/>
          </w:tcPr>
          <w:p w:rsidR="00633CFF" w:rsidRPr="00D14B6A" w:rsidRDefault="00633CF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D14B6A" w:rsidRDefault="004C0905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D14B6A" w:rsidRDefault="00633CF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633CFF" w:rsidRPr="00D14B6A" w:rsidRDefault="00633CFF" w:rsidP="003C0E7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B30FC8">
              <w:rPr>
                <w:rFonts w:asciiTheme="minorHAnsi" w:hAnsiTheme="minorHAnsi" w:cstheme="minorHAnsi"/>
                <w:szCs w:val="22"/>
              </w:rPr>
              <w:t>O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pen question: </w:t>
            </w:r>
            <w:r w:rsidR="00B30FC8">
              <w:rPr>
                <w:rFonts w:asciiTheme="minorHAnsi" w:hAnsiTheme="minorHAnsi" w:cstheme="minorHAnsi"/>
                <w:szCs w:val="22"/>
              </w:rPr>
              <w:t xml:space="preserve">should the 3.9GHz module </w:t>
            </w:r>
            <w:r w:rsidR="00B30FC8" w:rsidRPr="00D14B6A">
              <w:rPr>
                <w:rFonts w:asciiTheme="minorHAnsi" w:hAnsiTheme="minorHAnsi" w:cstheme="minorHAnsi"/>
                <w:szCs w:val="22"/>
              </w:rPr>
              <w:t>(ACC3H1)</w:t>
            </w:r>
            <w:r w:rsidR="00B30FC8">
              <w:rPr>
                <w:rFonts w:asciiTheme="minorHAnsi" w:hAnsiTheme="minorHAnsi" w:cstheme="minorHAnsi"/>
                <w:szCs w:val="22"/>
              </w:rPr>
              <w:t xml:space="preserve"> be interlocked for warm coupler conditioning (low power).</w:t>
            </w:r>
            <w:r w:rsidR="00A73779" w:rsidRPr="00D14B6A">
              <w:rPr>
                <w:rFonts w:asciiTheme="minorHAnsi" w:hAnsiTheme="minorHAnsi" w:cstheme="minorHAnsi"/>
                <w:szCs w:val="22"/>
              </w:rPr>
              <w:t xml:space="preserve"> This should be checked with Markus </w:t>
            </w:r>
            <w:proofErr w:type="spellStart"/>
            <w:r w:rsidR="00A73779" w:rsidRPr="00D14B6A">
              <w:rPr>
                <w:rFonts w:asciiTheme="minorHAnsi" w:hAnsiTheme="minorHAnsi" w:cstheme="minorHAnsi"/>
                <w:szCs w:val="22"/>
              </w:rPr>
              <w:t>Huenning</w:t>
            </w:r>
            <w:proofErr w:type="spellEnd"/>
          </w:p>
          <w:p w:rsidR="00B200AF" w:rsidRPr="00D14B6A" w:rsidRDefault="00B200AF" w:rsidP="00B200A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B30FC8">
              <w:rPr>
                <w:rFonts w:asciiTheme="minorHAnsi" w:hAnsiTheme="minorHAnsi" w:cstheme="minorHAnsi"/>
                <w:szCs w:val="22"/>
              </w:rPr>
              <w:t>O</w:t>
            </w:r>
            <w:r w:rsidRPr="00D14B6A">
              <w:rPr>
                <w:rFonts w:asciiTheme="minorHAnsi" w:hAnsiTheme="minorHAnsi" w:cstheme="minorHAnsi"/>
                <w:szCs w:val="22"/>
              </w:rPr>
              <w:t>pen question:  who is providing the logic and electronics for processing the temperature sensor data which is provided by WP13</w:t>
            </w:r>
          </w:p>
          <w:p w:rsidR="00B200AF" w:rsidRDefault="00A73779" w:rsidP="00B30FC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B30FC8">
              <w:rPr>
                <w:rFonts w:asciiTheme="minorHAnsi" w:hAnsiTheme="minorHAnsi" w:cstheme="minorHAnsi"/>
                <w:szCs w:val="22"/>
              </w:rPr>
              <w:t>O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pen </w:t>
            </w:r>
            <w:r w:rsidRPr="00D14B6A">
              <w:rPr>
                <w:rFonts w:asciiTheme="minorHAnsi" w:hAnsiTheme="minorHAnsi" w:cstheme="minorHAnsi"/>
                <w:szCs w:val="22"/>
              </w:rPr>
              <w:t>question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 xml:space="preserve">: how 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>the RF filter activated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 (bypassed or not)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>. Presently the MPS reads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200AF" w:rsidRPr="00D14B6A">
              <w:rPr>
                <w:rFonts w:asciiTheme="minorHAnsi" w:hAnsiTheme="minorHAnsi" w:cstheme="minorHAnsi"/>
                <w:szCs w:val="22"/>
              </w:rPr>
              <w:t>out the filter status, but does not control it.</w:t>
            </w:r>
          </w:p>
          <w:p w:rsidR="00861848" w:rsidRPr="00D14B6A" w:rsidRDefault="00861848" w:rsidP="00B30FC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D14B6A" w:rsidRDefault="00633CF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D14B6A" w:rsidRDefault="00633CF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D14B6A" w:rsidRDefault="00633CF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</w:p>
        </w:tc>
      </w:tr>
      <w:tr w:rsidR="00633CFF" w:rsidRPr="00AF58F0" w:rsidTr="00BC086C">
        <w:tc>
          <w:tcPr>
            <w:tcW w:w="212" w:type="pct"/>
            <w:shd w:val="clear" w:color="auto" w:fill="auto"/>
            <w:vAlign w:val="center"/>
          </w:tcPr>
          <w:p w:rsidR="00633CFF" w:rsidRPr="00D14B6A" w:rsidRDefault="00272FD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D14B6A" w:rsidRDefault="004C0905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D14B6A" w:rsidRDefault="00A73779" w:rsidP="008E675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Commissioning</w:t>
            </w:r>
          </w:p>
        </w:tc>
        <w:tc>
          <w:tcPr>
            <w:tcW w:w="2660" w:type="pct"/>
            <w:shd w:val="clear" w:color="auto" w:fill="auto"/>
          </w:tcPr>
          <w:p w:rsidR="00A73779" w:rsidRPr="00D14B6A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>- Earliest possible RF operation date is 5/2013</w:t>
            </w:r>
          </w:p>
          <w:p w:rsidR="00A73779" w:rsidRPr="00D14B6A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>- This date conflicts with FLASH2 commissioning</w:t>
            </w:r>
          </w:p>
          <w:p w:rsidR="00A73779" w:rsidRPr="00D14B6A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AF58F0">
              <w:rPr>
                <w:rFonts w:asciiTheme="minorHAnsi" w:hAnsiTheme="minorHAnsi" w:cstheme="minorHAnsi"/>
                <w:szCs w:val="22"/>
              </w:rPr>
              <w:lastRenderedPageBreak/>
              <w:t>- Potential</w:t>
            </w:r>
            <w:r w:rsidR="00AF58F0" w:rsidRPr="00AF58F0">
              <w:rPr>
                <w:rFonts w:asciiTheme="minorHAnsi" w:hAnsiTheme="minorHAnsi" w:cstheme="minorHAnsi"/>
                <w:szCs w:val="22"/>
              </w:rPr>
              <w:t>-</w:t>
            </w:r>
            <w:r w:rsidRPr="00AF58F0">
              <w:rPr>
                <w:rFonts w:asciiTheme="minorHAnsi" w:hAnsiTheme="minorHAnsi" w:cstheme="minorHAnsi"/>
                <w:szCs w:val="22"/>
              </w:rPr>
              <w:t>free contacts only</w:t>
            </w:r>
            <w:r w:rsidR="00AF58F0" w:rsidRPr="00AF58F0">
              <w:rPr>
                <w:rFonts w:asciiTheme="minorHAnsi" w:hAnsiTheme="minorHAnsi" w:cstheme="minorHAnsi"/>
                <w:szCs w:val="22"/>
              </w:rPr>
              <w:t xml:space="preserve"> are used (</w:t>
            </w:r>
            <w:proofErr w:type="spellStart"/>
            <w:r w:rsidR="00AF58F0" w:rsidRPr="00AF58F0">
              <w:rPr>
                <w:rFonts w:asciiTheme="minorHAnsi" w:hAnsiTheme="minorHAnsi" w:cstheme="minorHAnsi"/>
                <w:szCs w:val="22"/>
              </w:rPr>
              <w:t>opto</w:t>
            </w:r>
            <w:proofErr w:type="spellEnd"/>
            <w:r w:rsidR="00AF58F0" w:rsidRPr="00AF58F0">
              <w:rPr>
                <w:rFonts w:asciiTheme="minorHAnsi" w:hAnsiTheme="minorHAnsi" w:cstheme="minorHAnsi"/>
                <w:szCs w:val="22"/>
              </w:rPr>
              <w:t xml:space="preserve"> couplers) </w:t>
            </w:r>
            <w:r w:rsidRPr="00AF58F0">
              <w:rPr>
                <w:rFonts w:asciiTheme="minorHAnsi" w:hAnsiTheme="minorHAnsi" w:cstheme="minorHAnsi"/>
                <w:szCs w:val="22"/>
              </w:rPr>
              <w:t>60 V techniques</w:t>
            </w:r>
          </w:p>
          <w:p w:rsidR="00E737BF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>- Prerequisite</w:t>
            </w:r>
            <w:r w:rsidR="00E737BF">
              <w:rPr>
                <w:rFonts w:asciiTheme="minorHAnsi" w:hAnsiTheme="minorHAnsi" w:cstheme="minorHAnsi"/>
                <w:szCs w:val="22"/>
              </w:rPr>
              <w:t xml:space="preserve"> for RF without beam</w:t>
            </w:r>
          </w:p>
          <w:p w:rsidR="00633CFF" w:rsidRDefault="00E737BF" w:rsidP="00E737B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1) </w:t>
            </w:r>
            <w:r w:rsidR="00A73779" w:rsidRPr="00D14B6A">
              <w:rPr>
                <w:rFonts w:asciiTheme="minorHAnsi" w:hAnsiTheme="minorHAnsi" w:cstheme="minorHAnsi"/>
                <w:szCs w:val="22"/>
              </w:rPr>
              <w:t>network in XHM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AF24FC">
              <w:rPr>
                <w:rFonts w:asciiTheme="minorHAnsi" w:hAnsiTheme="minorHAnsi" w:cstheme="minorHAnsi"/>
                <w:szCs w:val="22"/>
              </w:rPr>
              <w:t>WP38</w:t>
            </w:r>
            <w:r>
              <w:rPr>
                <w:rFonts w:asciiTheme="minorHAnsi" w:hAnsiTheme="minorHAnsi" w:cstheme="minorHAnsi"/>
                <w:szCs w:val="22"/>
              </w:rPr>
              <w:t xml:space="preserve"> uses its own private network</w:t>
            </w:r>
            <w:r w:rsidR="00AF24FC">
              <w:rPr>
                <w:rFonts w:asciiTheme="minorHAnsi" w:hAnsiTheme="minorHAnsi" w:cstheme="minorHAnsi"/>
                <w:szCs w:val="22"/>
              </w:rPr>
              <w:t xml:space="preserve"> (installed and managed by IT)</w:t>
            </w:r>
          </w:p>
          <w:p w:rsidR="00E737BF" w:rsidRDefault="00E737BF" w:rsidP="00E737B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2) contacts for absorbers installed</w:t>
            </w:r>
          </w:p>
          <w:p w:rsidR="00E737BF" w:rsidRDefault="00E737BF" w:rsidP="00E737B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3) LLRF filters installed and status cable to XHM</w:t>
            </w:r>
          </w:p>
          <w:p w:rsidR="00E737BF" w:rsidRDefault="00E737BF" w:rsidP="00E737B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4) the cryo interlock can be bypassed</w:t>
            </w:r>
            <w:r w:rsidR="00AF24FC">
              <w:rPr>
                <w:rFonts w:asciiTheme="minorHAnsi" w:hAnsiTheme="minorHAnsi" w:cstheme="minorHAnsi"/>
                <w:szCs w:val="22"/>
              </w:rPr>
              <w:t xml:space="preserve"> (as long as cryogenics are not installed)</w:t>
            </w:r>
          </w:p>
          <w:p w:rsidR="00861848" w:rsidRPr="00D14B6A" w:rsidRDefault="00861848" w:rsidP="00E737B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D14B6A" w:rsidRDefault="00633CF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D14B6A" w:rsidRDefault="00633CF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D14B6A" w:rsidRDefault="00633CF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33CFF" w:rsidRPr="00D14B6A" w:rsidTr="00BC086C">
        <w:tc>
          <w:tcPr>
            <w:tcW w:w="212" w:type="pct"/>
            <w:shd w:val="clear" w:color="auto" w:fill="auto"/>
            <w:vAlign w:val="center"/>
          </w:tcPr>
          <w:p w:rsidR="00633CFF" w:rsidRPr="00D14B6A" w:rsidRDefault="00633CF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D14B6A" w:rsidRDefault="00EE3092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4B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D14B6A" w:rsidRDefault="00633CFF" w:rsidP="005568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A73779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>- Discussion point: reduce to one absorber instead of two</w:t>
            </w:r>
            <w:r w:rsidR="00B30FC8">
              <w:rPr>
                <w:rFonts w:asciiTheme="minorHAnsi" w:hAnsiTheme="minorHAnsi" w:cstheme="minorHAnsi"/>
                <w:szCs w:val="22"/>
              </w:rPr>
              <w:t xml:space="preserve"> per RF station.</w:t>
            </w:r>
          </w:p>
          <w:p w:rsidR="00AF24FC" w:rsidRPr="00D14B6A" w:rsidRDefault="00AF24FC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AF24FC">
              <w:rPr>
                <w:rFonts w:asciiTheme="minorHAnsi" w:hAnsiTheme="minorHAnsi" w:cstheme="minorHAnsi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after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discussion, it turns out this is not possible.</w:t>
            </w:r>
          </w:p>
          <w:p w:rsidR="00A73779" w:rsidRPr="00D14B6A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Open point: the cables from XHM to the RF station (klystron in tunnel) are not yet planned. The responsible group for cabling has to be finally </w:t>
            </w:r>
            <w:r w:rsidR="00E737BF">
              <w:rPr>
                <w:rFonts w:asciiTheme="minorHAnsi" w:hAnsiTheme="minorHAnsi" w:cstheme="minorHAnsi"/>
                <w:szCs w:val="22"/>
              </w:rPr>
              <w:t>defined</w:t>
            </w:r>
            <w:r w:rsidRPr="00D14B6A">
              <w:rPr>
                <w:rFonts w:asciiTheme="minorHAnsi" w:hAnsiTheme="minorHAnsi" w:cstheme="minorHAnsi"/>
                <w:szCs w:val="22"/>
              </w:rPr>
              <w:t>. This decision should come out of the cabling meetings</w:t>
            </w:r>
          </w:p>
          <w:p w:rsidR="00A73779" w:rsidRDefault="00A73779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14B6A">
              <w:rPr>
                <w:rFonts w:asciiTheme="minorHAnsi" w:hAnsiTheme="minorHAnsi" w:cstheme="minorHAnsi"/>
                <w:szCs w:val="22"/>
              </w:rPr>
              <w:t xml:space="preserve">- Open point: it has to be clarified if </w:t>
            </w:r>
            <w:r w:rsidR="002F4346">
              <w:rPr>
                <w:rFonts w:asciiTheme="minorHAnsi" w:hAnsiTheme="minorHAnsi" w:cstheme="minorHAnsi"/>
                <w:szCs w:val="22"/>
              </w:rPr>
              <w:t xml:space="preserve">a </w:t>
            </w:r>
            <w:r w:rsidR="00AF58F0">
              <w:rPr>
                <w:rFonts w:asciiTheme="minorHAnsi" w:hAnsiTheme="minorHAnsi" w:cstheme="minorHAnsi"/>
                <w:szCs w:val="22"/>
              </w:rPr>
              <w:t xml:space="preserve">connection in </w:t>
            </w:r>
            <w:r w:rsidRPr="00AF58F0">
              <w:rPr>
                <w:rFonts w:asciiTheme="minorHAnsi" w:hAnsiTheme="minorHAnsi" w:cstheme="minorHAnsi"/>
                <w:szCs w:val="22"/>
              </w:rPr>
              <w:t>seri</w:t>
            </w:r>
            <w:r w:rsidR="00AF58F0" w:rsidRPr="00AF58F0">
              <w:rPr>
                <w:rFonts w:asciiTheme="minorHAnsi" w:hAnsiTheme="minorHAnsi" w:cstheme="minorHAnsi"/>
                <w:szCs w:val="22"/>
              </w:rPr>
              <w:t>es</w:t>
            </w:r>
            <w:r w:rsidRPr="00D14B6A">
              <w:rPr>
                <w:rFonts w:asciiTheme="minorHAnsi" w:hAnsiTheme="minorHAnsi" w:cstheme="minorHAnsi"/>
                <w:szCs w:val="22"/>
              </w:rPr>
              <w:t xml:space="preserve"> of the absorber is allowed</w:t>
            </w:r>
          </w:p>
          <w:p w:rsidR="002F4346" w:rsidRPr="00D14B6A" w:rsidRDefault="002F4346" w:rsidP="00A7377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2F4346">
              <w:rPr>
                <w:rFonts w:asciiTheme="minorHAnsi" w:hAnsiTheme="minorHAnsi" w:cstheme="minorHAnsi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after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discussion, the answer is no.</w:t>
            </w:r>
          </w:p>
          <w:p w:rsidR="00EE3092" w:rsidRPr="00D14B6A" w:rsidRDefault="00EE3092" w:rsidP="00EE30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D14B6A" w:rsidRDefault="00633CFF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D14B6A" w:rsidRDefault="00633CF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D14B6A" w:rsidRDefault="00272FDF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</w:p>
        </w:tc>
      </w:tr>
      <w:tr w:rsidR="00EE3092" w:rsidRPr="00AF58F0" w:rsidTr="00BC086C">
        <w:tc>
          <w:tcPr>
            <w:tcW w:w="212" w:type="pct"/>
            <w:shd w:val="clear" w:color="auto" w:fill="auto"/>
            <w:vAlign w:val="center"/>
          </w:tcPr>
          <w:p w:rsidR="00EE3092" w:rsidRPr="00D14B6A" w:rsidRDefault="00EE3092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58" w:type="pct"/>
            <w:shd w:val="clear" w:color="auto" w:fill="auto"/>
            <w:vAlign w:val="center"/>
          </w:tcPr>
          <w:p w:rsidR="00EE3092" w:rsidRPr="00D14B6A" w:rsidRDefault="00EE3092" w:rsidP="004C09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EE3092" w:rsidRPr="00D14B6A" w:rsidRDefault="00EE3092" w:rsidP="005568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EE3092" w:rsidRPr="00D14B6A" w:rsidRDefault="00EE3092" w:rsidP="00EB022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E3092" w:rsidRPr="00D14B6A" w:rsidRDefault="00EE3092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E3092" w:rsidRPr="00D14B6A" w:rsidRDefault="00EE3092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E3092" w:rsidRPr="00D14B6A" w:rsidRDefault="00EE3092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E5C84" w:rsidRPr="00AF58F0" w:rsidTr="00BC086C">
        <w:tc>
          <w:tcPr>
            <w:tcW w:w="212" w:type="pct"/>
            <w:shd w:val="clear" w:color="auto" w:fill="auto"/>
            <w:vAlign w:val="center"/>
          </w:tcPr>
          <w:p w:rsidR="00BE5C84" w:rsidRPr="00D14B6A" w:rsidRDefault="00BE5C84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E5C84" w:rsidRPr="00D14B6A" w:rsidRDefault="00BE5C84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BE5C84" w:rsidRPr="00D14B6A" w:rsidRDefault="00AF24FC" w:rsidP="00AF24F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 remarks brought up during follow up meeting</w:t>
            </w:r>
          </w:p>
        </w:tc>
        <w:tc>
          <w:tcPr>
            <w:tcW w:w="2660" w:type="pct"/>
            <w:shd w:val="clear" w:color="auto" w:fill="auto"/>
          </w:tcPr>
          <w:p w:rsidR="00AF24FC" w:rsidRPr="00D14B6A" w:rsidRDefault="00AF24FC" w:rsidP="00AF24F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It should be possible to start commissioning klystron + load without personnel interlocks. This implies special arrangement with</w:t>
            </w:r>
            <w:r>
              <w:rPr>
                <w:rFonts w:asciiTheme="minorHAnsi" w:hAnsiTheme="minorHAnsi" w:cstheme="minorHAnsi"/>
                <w:szCs w:val="22"/>
              </w:rPr>
              <w:t xml:space="preserve"> radiation protection group.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E5C84" w:rsidRPr="00AF58F0" w:rsidRDefault="00BE5C84" w:rsidP="003D33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E5C84" w:rsidRPr="00AF58F0" w:rsidRDefault="00BE5C84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E5C84" w:rsidRPr="00AF58F0" w:rsidRDefault="00BE5C84" w:rsidP="00BC08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AD7B78" w:rsidRPr="00AF58F0" w:rsidRDefault="00AD7B78" w:rsidP="00FA15D9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AD7B78" w:rsidRPr="00AF58F0" w:rsidSect="00D14B6A">
      <w:headerReference w:type="default" r:id="rId8"/>
      <w:footerReference w:type="default" r:id="rId9"/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C4" w:rsidRDefault="00170BC4">
      <w:r>
        <w:separator/>
      </w:r>
    </w:p>
  </w:endnote>
  <w:endnote w:type="continuationSeparator" w:id="0">
    <w:p w:rsidR="00170BC4" w:rsidRDefault="0017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"/>
      <w:gridCol w:w="588"/>
      <w:gridCol w:w="6077"/>
      <w:gridCol w:w="6158"/>
      <w:gridCol w:w="1110"/>
    </w:tblGrid>
    <w:tr w:rsidR="00B30FC8" w:rsidRPr="00AF58F0" w:rsidTr="00BC086C">
      <w:trPr>
        <w:trHeight w:val="569"/>
      </w:trPr>
      <w:tc>
        <w:tcPr>
          <w:tcW w:w="648" w:type="dxa"/>
          <w:shd w:val="clear" w:color="auto" w:fill="auto"/>
        </w:tcPr>
        <w:p w:rsidR="00B30FC8" w:rsidRDefault="00B30FC8">
          <w:pPr>
            <w:pStyle w:val="Footer"/>
          </w:pPr>
        </w:p>
      </w:tc>
      <w:tc>
        <w:tcPr>
          <w:tcW w:w="588" w:type="dxa"/>
          <w:shd w:val="clear" w:color="auto" w:fill="auto"/>
        </w:tcPr>
        <w:p w:rsidR="00B30FC8" w:rsidRDefault="00B30FC8" w:rsidP="00BC086C">
          <w:pPr>
            <w:pStyle w:val="Footer"/>
            <w:ind w:right="-60"/>
          </w:pPr>
          <w:r>
            <w:rPr>
              <w:noProof/>
              <w:lang w:eastAsia="de-DE"/>
            </w:rPr>
            <w:drawing>
              <wp:inline distT="0" distB="0" distL="0" distR="0" wp14:anchorId="3328ABB4" wp14:editId="3A4FE0FF">
                <wp:extent cx="228600" cy="304800"/>
                <wp:effectExtent l="0" t="0" r="0" b="0"/>
                <wp:docPr id="1" name="Picture 1" descr="arrw01_2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rw01_2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35" w:type="dxa"/>
          <w:gridSpan w:val="2"/>
          <w:shd w:val="clear" w:color="auto" w:fill="auto"/>
          <w:vAlign w:val="center"/>
        </w:tcPr>
        <w:p w:rsidR="00B30FC8" w:rsidRPr="00BC086C" w:rsidRDefault="00B30FC8" w:rsidP="005460BB">
          <w:pPr>
            <w:pStyle w:val="Footer"/>
            <w:rPr>
              <w:lang w:val="en-GB"/>
            </w:rPr>
          </w:pPr>
          <w:r w:rsidRPr="00BC086C">
            <w:rPr>
              <w:b/>
              <w:lang w:val="en-GB"/>
            </w:rPr>
            <w:t xml:space="preserve">A = Action  D = Decision  I = Information  R = Recommendation </w:t>
          </w:r>
        </w:p>
      </w:tc>
      <w:tc>
        <w:tcPr>
          <w:tcW w:w="1110" w:type="dxa"/>
          <w:shd w:val="clear" w:color="auto" w:fill="auto"/>
        </w:tcPr>
        <w:p w:rsidR="00B30FC8" w:rsidRPr="00BC086C" w:rsidRDefault="00B30FC8">
          <w:pPr>
            <w:pStyle w:val="Footer"/>
            <w:rPr>
              <w:lang w:val="en-GB"/>
            </w:rPr>
          </w:pPr>
        </w:p>
      </w:tc>
    </w:tr>
    <w:tr w:rsidR="00B30FC8" w:rsidRPr="00F47E64" w:rsidTr="00BC086C">
      <w:trPr>
        <w:trHeight w:val="583"/>
      </w:trPr>
      <w:tc>
        <w:tcPr>
          <w:tcW w:w="648" w:type="dxa"/>
          <w:shd w:val="clear" w:color="auto" w:fill="auto"/>
        </w:tcPr>
        <w:p w:rsidR="00B30FC8" w:rsidRPr="00BC086C" w:rsidRDefault="00B30FC8">
          <w:pPr>
            <w:pStyle w:val="Footer"/>
            <w:rPr>
              <w:lang w:val="en-GB"/>
            </w:rPr>
          </w:pPr>
        </w:p>
      </w:tc>
      <w:tc>
        <w:tcPr>
          <w:tcW w:w="6665" w:type="dxa"/>
          <w:gridSpan w:val="2"/>
          <w:shd w:val="clear" w:color="auto" w:fill="auto"/>
        </w:tcPr>
        <w:p w:rsidR="00B30FC8" w:rsidRPr="00BC086C" w:rsidRDefault="00B30FC8">
          <w:pPr>
            <w:pStyle w:val="Footer"/>
            <w:rPr>
              <w:lang w:val="en-GB"/>
            </w:rPr>
          </w:pPr>
        </w:p>
      </w:tc>
      <w:tc>
        <w:tcPr>
          <w:tcW w:w="6158" w:type="dxa"/>
          <w:shd w:val="clear" w:color="auto" w:fill="auto"/>
          <w:vAlign w:val="center"/>
        </w:tcPr>
        <w:p w:rsidR="00B30FC8" w:rsidRPr="00BC086C" w:rsidRDefault="00B30FC8" w:rsidP="005460BB">
          <w:pPr>
            <w:pStyle w:val="Footer"/>
            <w:rPr>
              <w:b/>
              <w:lang w:val="en-GB"/>
            </w:rPr>
          </w:pPr>
          <w:r w:rsidRPr="00BC086C">
            <w:rPr>
              <w:b/>
              <w:lang w:val="en-GB"/>
            </w:rPr>
            <w:t>O = Open  P = Postponed  V = Void  C = Closed</w:t>
          </w:r>
        </w:p>
      </w:tc>
      <w:tc>
        <w:tcPr>
          <w:tcW w:w="1110" w:type="dxa"/>
          <w:shd w:val="clear" w:color="auto" w:fill="auto"/>
        </w:tcPr>
        <w:p w:rsidR="00B30FC8" w:rsidRPr="00BC086C" w:rsidRDefault="00B30FC8" w:rsidP="00BC086C">
          <w:pPr>
            <w:pStyle w:val="Footer"/>
            <w:jc w:val="center"/>
            <w:rPr>
              <w:lang w:val="en-GB"/>
            </w:rPr>
          </w:pPr>
          <w:r>
            <w:rPr>
              <w:noProof/>
              <w:lang w:eastAsia="de-DE"/>
            </w:rPr>
            <w:drawing>
              <wp:inline distT="0" distB="0" distL="0" distR="0" wp14:anchorId="257770DA" wp14:editId="72312958">
                <wp:extent cx="228600" cy="304800"/>
                <wp:effectExtent l="0" t="0" r="0" b="0"/>
                <wp:docPr id="2" name="Picture 2" descr="arrw01_2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rw01_2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FC8" w:rsidRPr="00F47E64" w:rsidRDefault="00B30FC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C4" w:rsidRDefault="00170BC4">
      <w:r>
        <w:separator/>
      </w:r>
    </w:p>
  </w:footnote>
  <w:footnote w:type="continuationSeparator" w:id="0">
    <w:p w:rsidR="00170BC4" w:rsidRDefault="0017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8"/>
      <w:gridCol w:w="3780"/>
      <w:gridCol w:w="2154"/>
    </w:tblGrid>
    <w:tr w:rsidR="00B30FC8" w:rsidTr="00BC086C">
      <w:trPr>
        <w:trHeight w:val="530"/>
      </w:trPr>
      <w:tc>
        <w:tcPr>
          <w:tcW w:w="8568" w:type="dxa"/>
          <w:shd w:val="clear" w:color="auto" w:fill="auto"/>
          <w:vAlign w:val="center"/>
        </w:tcPr>
        <w:p w:rsidR="00B30FC8" w:rsidRPr="00BC086C" w:rsidRDefault="00B30FC8" w:rsidP="00E9128B">
          <w:pPr>
            <w:pStyle w:val="Header"/>
            <w:rPr>
              <w:b/>
              <w:lang w:val="en-GB"/>
            </w:rPr>
          </w:pPr>
          <w:r w:rsidRPr="00BC086C">
            <w:rPr>
              <w:b/>
              <w:lang w:val="en-GB"/>
            </w:rPr>
            <w:t xml:space="preserve">Name of Meeting: </w:t>
          </w:r>
          <w:r w:rsidRPr="00BC086C">
            <w:rPr>
              <w:lang w:val="en-US"/>
            </w:rPr>
            <w:t>XFEL Working Group</w:t>
          </w:r>
          <w:r>
            <w:rPr>
              <w:lang w:val="en-US"/>
            </w:rPr>
            <w:t xml:space="preserve"> for LINAC operations</w:t>
          </w:r>
        </w:p>
      </w:tc>
      <w:tc>
        <w:tcPr>
          <w:tcW w:w="3780" w:type="dxa"/>
          <w:shd w:val="clear" w:color="auto" w:fill="auto"/>
          <w:vAlign w:val="center"/>
        </w:tcPr>
        <w:p w:rsidR="00B30FC8" w:rsidRPr="00BC086C" w:rsidRDefault="00B30FC8" w:rsidP="005460BB">
          <w:pPr>
            <w:pStyle w:val="Header"/>
            <w:rPr>
              <w:b/>
            </w:rPr>
          </w:pPr>
          <w:r w:rsidRPr="00BC086C">
            <w:rPr>
              <w:b/>
            </w:rPr>
            <w:t xml:space="preserve">Date: </w:t>
          </w:r>
          <w:r w:rsidRPr="00E9128B">
            <w:t>01.12.2011</w:t>
          </w:r>
        </w:p>
      </w:tc>
      <w:tc>
        <w:tcPr>
          <w:tcW w:w="2154" w:type="dxa"/>
          <w:shd w:val="clear" w:color="auto" w:fill="auto"/>
          <w:vAlign w:val="center"/>
        </w:tcPr>
        <w:p w:rsidR="00B30FC8" w:rsidRDefault="00B30FC8" w:rsidP="005460B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F4346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F4346">
            <w:rPr>
              <w:noProof/>
            </w:rPr>
            <w:t>3</w:t>
          </w:r>
          <w:r>
            <w:fldChar w:fldCharType="end"/>
          </w:r>
        </w:p>
      </w:tc>
    </w:tr>
  </w:tbl>
  <w:p w:rsidR="00B30FC8" w:rsidRDefault="00B30F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981"/>
    <w:multiLevelType w:val="hybridMultilevel"/>
    <w:tmpl w:val="FEBE74BA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8F8"/>
    <w:multiLevelType w:val="hybridMultilevel"/>
    <w:tmpl w:val="1EE6DA2C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1D8B"/>
    <w:multiLevelType w:val="hybridMultilevel"/>
    <w:tmpl w:val="078CCC42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20948"/>
    <w:multiLevelType w:val="hybridMultilevel"/>
    <w:tmpl w:val="60D65B08"/>
    <w:lvl w:ilvl="0" w:tplc="024462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E35"/>
    <w:multiLevelType w:val="hybridMultilevel"/>
    <w:tmpl w:val="5A64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31017"/>
    <w:multiLevelType w:val="hybridMultilevel"/>
    <w:tmpl w:val="3C2A7412"/>
    <w:lvl w:ilvl="0" w:tplc="69207D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345D8"/>
    <w:multiLevelType w:val="hybridMultilevel"/>
    <w:tmpl w:val="1842E2FA"/>
    <w:lvl w:ilvl="0" w:tplc="7A9A08A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42DEF"/>
    <w:multiLevelType w:val="hybridMultilevel"/>
    <w:tmpl w:val="C1F8D5AE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FF"/>
    <w:rsid w:val="00014112"/>
    <w:rsid w:val="00046D78"/>
    <w:rsid w:val="000503B2"/>
    <w:rsid w:val="0006386B"/>
    <w:rsid w:val="00064BF3"/>
    <w:rsid w:val="000C2A8A"/>
    <w:rsid w:val="00125224"/>
    <w:rsid w:val="00136069"/>
    <w:rsid w:val="00164C1C"/>
    <w:rsid w:val="00170BC4"/>
    <w:rsid w:val="00187378"/>
    <w:rsid w:val="00192BFF"/>
    <w:rsid w:val="001C3994"/>
    <w:rsid w:val="00272FDF"/>
    <w:rsid w:val="002F4346"/>
    <w:rsid w:val="00301677"/>
    <w:rsid w:val="00393B05"/>
    <w:rsid w:val="003C0E73"/>
    <w:rsid w:val="003C270B"/>
    <w:rsid w:val="003D330B"/>
    <w:rsid w:val="00492529"/>
    <w:rsid w:val="00494F88"/>
    <w:rsid w:val="004C0905"/>
    <w:rsid w:val="004D1B80"/>
    <w:rsid w:val="00510326"/>
    <w:rsid w:val="005240DB"/>
    <w:rsid w:val="005460BB"/>
    <w:rsid w:val="005568FF"/>
    <w:rsid w:val="00591B70"/>
    <w:rsid w:val="005A0B91"/>
    <w:rsid w:val="005F5E3A"/>
    <w:rsid w:val="00633CFF"/>
    <w:rsid w:val="0068540B"/>
    <w:rsid w:val="006C70C0"/>
    <w:rsid w:val="006E2E4A"/>
    <w:rsid w:val="00784ADC"/>
    <w:rsid w:val="007919CB"/>
    <w:rsid w:val="007B6075"/>
    <w:rsid w:val="007C6EC5"/>
    <w:rsid w:val="00806DFF"/>
    <w:rsid w:val="008138EB"/>
    <w:rsid w:val="00833945"/>
    <w:rsid w:val="00834BE9"/>
    <w:rsid w:val="00861848"/>
    <w:rsid w:val="00872165"/>
    <w:rsid w:val="00876DB9"/>
    <w:rsid w:val="008949F3"/>
    <w:rsid w:val="008E6756"/>
    <w:rsid w:val="0094454F"/>
    <w:rsid w:val="0098306E"/>
    <w:rsid w:val="0098348C"/>
    <w:rsid w:val="00984AB9"/>
    <w:rsid w:val="009C3EAB"/>
    <w:rsid w:val="009F3DEB"/>
    <w:rsid w:val="00A73779"/>
    <w:rsid w:val="00A95CB0"/>
    <w:rsid w:val="00AC7DD6"/>
    <w:rsid w:val="00AD7B78"/>
    <w:rsid w:val="00AF24FC"/>
    <w:rsid w:val="00AF58F0"/>
    <w:rsid w:val="00B123BC"/>
    <w:rsid w:val="00B200AF"/>
    <w:rsid w:val="00B30FC8"/>
    <w:rsid w:val="00B51ADA"/>
    <w:rsid w:val="00B604D7"/>
    <w:rsid w:val="00B97250"/>
    <w:rsid w:val="00BC086C"/>
    <w:rsid w:val="00BE5C84"/>
    <w:rsid w:val="00C30EBC"/>
    <w:rsid w:val="00C538BF"/>
    <w:rsid w:val="00C649E0"/>
    <w:rsid w:val="00C8707B"/>
    <w:rsid w:val="00CD3032"/>
    <w:rsid w:val="00CE68AC"/>
    <w:rsid w:val="00D13A82"/>
    <w:rsid w:val="00D14B6A"/>
    <w:rsid w:val="00D22F20"/>
    <w:rsid w:val="00D544D2"/>
    <w:rsid w:val="00DC2548"/>
    <w:rsid w:val="00DD6FC8"/>
    <w:rsid w:val="00DE2A79"/>
    <w:rsid w:val="00E03D0A"/>
    <w:rsid w:val="00E54315"/>
    <w:rsid w:val="00E60BA6"/>
    <w:rsid w:val="00E620A9"/>
    <w:rsid w:val="00E73569"/>
    <w:rsid w:val="00E737BF"/>
    <w:rsid w:val="00E9128B"/>
    <w:rsid w:val="00EB0222"/>
    <w:rsid w:val="00EB03C9"/>
    <w:rsid w:val="00EE3092"/>
    <w:rsid w:val="00F432D2"/>
    <w:rsid w:val="00F47E64"/>
    <w:rsid w:val="00F70402"/>
    <w:rsid w:val="00FA15D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0"/>
    <w:rPr>
      <w:rFonts w:ascii="Tahoma" w:hAnsi="Tahoma" w:cs="Tahoma"/>
      <w:sz w:val="16"/>
      <w:szCs w:val="16"/>
      <w:lang w:val="de-D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454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454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0"/>
    <w:rPr>
      <w:rFonts w:ascii="Tahoma" w:hAnsi="Tahoma" w:cs="Tahoma"/>
      <w:sz w:val="16"/>
      <w:szCs w:val="16"/>
      <w:lang w:val="de-D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454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45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ecking\Application%20Data\Microsoft\Templates\Minutes_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Minutes_v1.2.dot</Template>
  <TotalTime>0</TotalTime>
  <Pages>3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Meeting:</vt:lpstr>
    </vt:vector>
  </TitlesOfParts>
  <Company>DESY</Company>
  <LinksUpToDate>false</LinksUpToDate>
  <CharactersWithSpaces>3895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http://xfel.desy.de/Minutes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http://xfel.desy.de/Meetings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Meeting:</dc:title>
  <dc:creator>wdecking</dc:creator>
  <cp:lastModifiedBy>30b362 (owner: Kluth, Carsten)</cp:lastModifiedBy>
  <cp:revision>3</cp:revision>
  <cp:lastPrinted>2012-01-25T09:56:00Z</cp:lastPrinted>
  <dcterms:created xsi:type="dcterms:W3CDTF">2012-01-26T12:58:00Z</dcterms:created>
  <dcterms:modified xsi:type="dcterms:W3CDTF">2012-01-26T13:16:00Z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42579801</vt:i4>
  </property>
  <property fmtid="{D5CDD505-2E9C-101B-9397-08002B2CF9AE}" pid="3" name="_NewReviewCycle">
    <vt:lpwstr/>
  </property>
  <property fmtid="{D5CDD505-2E9C-101B-9397-08002B2CF9AE}" pid="4" name="_EmailSubject">
    <vt:lpwstr>Working Group on XFEL Commissioning</vt:lpwstr>
  </property>
  <property fmtid="{D5CDD505-2E9C-101B-9397-08002B2CF9AE}" pid="5" name="_AuthorEmail">
    <vt:lpwstr>winfried.decking@desy.de</vt:lpwstr>
  </property>
  <property fmtid="{D5CDD505-2E9C-101B-9397-08002B2CF9AE}" pid="6" name="_AuthorEmailDisplayName">
    <vt:lpwstr>Decking, Winfried</vt:lpwstr>
  </property>
  <property fmtid="{D5CDD505-2E9C-101B-9397-08002B2CF9AE}" pid="7" name="_ReviewingToolsShownOnce">
    <vt:lpwstr/>
  </property>
</Properties>
</file>